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A2EC3" w14:textId="7E35BCBD" w:rsidR="00D61D32" w:rsidRDefault="00D53C9A">
      <w:pPr>
        <w:pStyle w:val="Titel1"/>
      </w:pPr>
      <w:bookmarkStart w:id="0" w:name="_Hlk153142511"/>
      <w:bookmarkEnd w:id="0"/>
      <w:r>
        <w:t>Essential elements</w:t>
      </w:r>
      <w:r w:rsidR="00D61D32">
        <w:t xml:space="preserve"> </w:t>
      </w:r>
      <w:r>
        <w:t>of</w:t>
      </w:r>
      <w:r w:rsidR="00D61D32">
        <w:t xml:space="preserve"> a </w:t>
      </w:r>
      <w:r>
        <w:t xml:space="preserve">modern </w:t>
      </w:r>
      <w:r w:rsidR="00D61D32">
        <w:t>Clinical Engineering Internship</w:t>
      </w:r>
    </w:p>
    <w:p w14:paraId="50BC6137" w14:textId="7AD07AFF" w:rsidR="00702083" w:rsidRPr="00D61D32" w:rsidRDefault="00D61D32">
      <w:pPr>
        <w:pStyle w:val="Titel1"/>
        <w:rPr>
          <w:i/>
          <w:iCs/>
          <w:snapToGrid w:val="0"/>
          <w:lang w:eastAsia="ja-JP"/>
        </w:rPr>
      </w:pPr>
      <w:r>
        <w:rPr>
          <w:i/>
          <w:iCs/>
          <w:snapToGrid w:val="0"/>
          <w:lang w:eastAsia="ja-JP"/>
        </w:rPr>
        <w:t xml:space="preserve">Ottawa-Carleton Institute </w:t>
      </w:r>
      <w:r w:rsidR="00056761">
        <w:rPr>
          <w:i/>
          <w:iCs/>
          <w:snapToGrid w:val="0"/>
          <w:lang w:eastAsia="ja-JP"/>
        </w:rPr>
        <w:t>for</w:t>
      </w:r>
      <w:r>
        <w:rPr>
          <w:i/>
          <w:iCs/>
          <w:snapToGrid w:val="0"/>
          <w:lang w:eastAsia="ja-JP"/>
        </w:rPr>
        <w:t xml:space="preserve"> Biomedical Engineering</w:t>
      </w:r>
    </w:p>
    <w:p w14:paraId="65EA6B12" w14:textId="204CAB1E" w:rsidR="00702083" w:rsidRPr="00CC5963" w:rsidRDefault="00702083">
      <w:pPr>
        <w:pStyle w:val="author"/>
        <w:rPr>
          <w:rStyle w:val="superscript"/>
        </w:rPr>
      </w:pPr>
      <w:r>
        <w:t>A.</w:t>
      </w:r>
      <w:r w:rsidR="000B3E2D">
        <w:t>A.M</w:t>
      </w:r>
      <w:r>
        <w:t xml:space="preserve">. </w:t>
      </w:r>
      <w:r w:rsidR="000B3E2D">
        <w:t>Ibey</w:t>
      </w:r>
      <w:r w:rsidRPr="00CC5963">
        <w:rPr>
          <w:rStyle w:val="superscript"/>
        </w:rPr>
        <w:t>1</w:t>
      </w:r>
      <w:r w:rsidR="00774627">
        <w:rPr>
          <w:rStyle w:val="superscript"/>
        </w:rPr>
        <w:t>,2</w:t>
      </w:r>
      <w:r w:rsidR="00F43110">
        <w:rPr>
          <w:rStyle w:val="superscript"/>
        </w:rPr>
        <w:t>,3</w:t>
      </w:r>
      <w:r w:rsidR="00A05DA6">
        <w:t xml:space="preserve"> and</w:t>
      </w:r>
      <w:r>
        <w:t xml:space="preserve"> </w:t>
      </w:r>
      <w:r w:rsidR="00774627">
        <w:t>M.A.</w:t>
      </w:r>
      <w:r>
        <w:t xml:space="preserve"> </w:t>
      </w:r>
      <w:r w:rsidR="00774627">
        <w:t>Janvier</w:t>
      </w:r>
      <w:r w:rsidR="00774627">
        <w:rPr>
          <w:rStyle w:val="superscript"/>
        </w:rPr>
        <w:t>1,2</w:t>
      </w:r>
      <w:r w:rsidR="00F43110">
        <w:rPr>
          <w:rStyle w:val="superscript"/>
        </w:rPr>
        <w:t>,3</w:t>
      </w:r>
    </w:p>
    <w:p w14:paraId="6D1A878C" w14:textId="03BEECD2" w:rsidR="00702083" w:rsidRDefault="00702083" w:rsidP="00702083">
      <w:pPr>
        <w:pStyle w:val="authorinfo"/>
        <w:spacing w:after="0"/>
        <w:rPr>
          <w:snapToGrid w:val="0"/>
          <w:lang w:eastAsia="en-US"/>
        </w:rPr>
      </w:pPr>
      <w:r>
        <w:rPr>
          <w:snapToGrid w:val="0"/>
          <w:vertAlign w:val="superscript"/>
          <w:lang w:eastAsia="en-US"/>
        </w:rPr>
        <w:t>1</w:t>
      </w:r>
      <w:r>
        <w:t xml:space="preserve"> </w:t>
      </w:r>
      <w:r w:rsidR="000B3E2D">
        <w:t>Department of Clinical Engineering, C</w:t>
      </w:r>
      <w:r w:rsidR="00F43110">
        <w:t>hildren’s Hospital of Eastern Ontario</w:t>
      </w:r>
      <w:r w:rsidR="000B3E2D">
        <w:t>, Ottawa</w:t>
      </w:r>
      <w:r>
        <w:t>, C</w:t>
      </w:r>
      <w:r w:rsidR="000B3E2D">
        <w:t>anada</w:t>
      </w:r>
    </w:p>
    <w:p w14:paraId="2DCF0949" w14:textId="6648C3F1" w:rsidR="00702083" w:rsidRDefault="00702083">
      <w:pPr>
        <w:pStyle w:val="authorinfo"/>
      </w:pPr>
      <w:r>
        <w:rPr>
          <w:vertAlign w:val="superscript"/>
        </w:rPr>
        <w:t>2</w:t>
      </w:r>
      <w:r w:rsidR="00F43110">
        <w:t>Department of S</w:t>
      </w:r>
      <w:r w:rsidR="000B3E2D">
        <w:t>ystems and Computer Engineering, Carleton University, Ottawa</w:t>
      </w:r>
      <w:r>
        <w:t>, C</w:t>
      </w:r>
      <w:r w:rsidR="000B3E2D">
        <w:t>anada</w:t>
      </w:r>
    </w:p>
    <w:p w14:paraId="6AB5A9F4" w14:textId="7E7875C4" w:rsidR="00F43110" w:rsidRDefault="00F43110" w:rsidP="00F43110">
      <w:pPr>
        <w:pStyle w:val="authorinfo"/>
      </w:pPr>
      <w:r>
        <w:rPr>
          <w:vertAlign w:val="superscript"/>
        </w:rPr>
        <w:t>3</w:t>
      </w:r>
      <w:r>
        <w:t>Departm</w:t>
      </w:r>
      <w:r w:rsidR="00F83FB7">
        <w:t>e</w:t>
      </w:r>
      <w:r>
        <w:t>nt of Mechanical Engineering, University of Ottawa, Ottawa, Canada</w:t>
      </w:r>
    </w:p>
    <w:p w14:paraId="0125A29B" w14:textId="5EF51A82" w:rsidR="00F43110" w:rsidRDefault="00F43110">
      <w:pPr>
        <w:pStyle w:val="authorinfo"/>
        <w:rPr>
          <w:snapToGrid w:val="0"/>
          <w:lang w:eastAsia="ja-JP"/>
        </w:rPr>
      </w:pPr>
    </w:p>
    <w:p w14:paraId="7AA40012" w14:textId="77777777" w:rsidR="00702083" w:rsidRDefault="00702083">
      <w:pPr>
        <w:sectPr w:rsidR="00702083" w:rsidSect="006A014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5819" w:code="218"/>
          <w:pgMar w:top="1531" w:right="936" w:bottom="2268" w:left="936" w:header="360" w:footer="964" w:gutter="0"/>
          <w:cols w:space="708"/>
          <w:docGrid w:linePitch="360"/>
        </w:sectPr>
      </w:pPr>
    </w:p>
    <w:p w14:paraId="1D881AAB" w14:textId="0DD25CD4" w:rsidR="00DF6632" w:rsidRDefault="00702083">
      <w:pPr>
        <w:pStyle w:val="abstract"/>
      </w:pPr>
      <w:r>
        <w:rPr>
          <w:rStyle w:val="italic"/>
          <w:b w:val="0"/>
        </w:rPr>
        <w:t>Abstract</w:t>
      </w:r>
      <w:r>
        <w:t xml:space="preserve">— </w:t>
      </w:r>
      <w:r w:rsidR="00D61D32" w:rsidRPr="003A021B">
        <w:t xml:space="preserve">The </w:t>
      </w:r>
      <w:r w:rsidR="00617A24" w:rsidRPr="003A021B">
        <w:t>Ottawa Carleton Institute of Biomedical Engineering has offered a clinical engineering graduate degree program since 20</w:t>
      </w:r>
      <w:r w:rsidR="007D260E" w:rsidRPr="003A021B">
        <w:t>13</w:t>
      </w:r>
      <w:r w:rsidR="00617A24" w:rsidRPr="003A021B">
        <w:t xml:space="preserve">. To date, this program has graduated </w:t>
      </w:r>
      <w:r w:rsidR="007D260E" w:rsidRPr="003A021B">
        <w:t>9</w:t>
      </w:r>
      <w:r w:rsidR="00617A24" w:rsidRPr="003A021B">
        <w:t xml:space="preserve"> students</w:t>
      </w:r>
      <w:r w:rsidR="008C7DA5">
        <w:t xml:space="preserve">, and </w:t>
      </w:r>
      <w:r w:rsidR="00E32104">
        <w:t xml:space="preserve">has </w:t>
      </w:r>
      <w:r w:rsidR="008C7DA5">
        <w:t>3 pending graduations.</w:t>
      </w:r>
      <w:r w:rsidR="005554C2" w:rsidRPr="003A021B">
        <w:t xml:space="preserve"> The internship program follows a r</w:t>
      </w:r>
      <w:r w:rsidR="0057021A">
        <w:t>obust</w:t>
      </w:r>
      <w:r w:rsidR="005554C2" w:rsidRPr="003A021B">
        <w:t xml:space="preserve"> </w:t>
      </w:r>
      <w:r w:rsidR="00C87B6E">
        <w:t>rubric</w:t>
      </w:r>
      <w:r w:rsidR="005554C2" w:rsidRPr="003A021B">
        <w:t xml:space="preserve"> and </w:t>
      </w:r>
      <w:r w:rsidR="001D3915" w:rsidRPr="003A021B">
        <w:t xml:space="preserve">tutorials that covers the scope of the American College of Clinical Engineering </w:t>
      </w:r>
      <w:r w:rsidR="003A5E30" w:rsidRPr="003A021B">
        <w:t>Body of Knowledge</w:t>
      </w:r>
      <w:r w:rsidR="007E1A92">
        <w:t xml:space="preserve"> preparing students for the current demands of the profession</w:t>
      </w:r>
      <w:r w:rsidR="003A5E30" w:rsidRPr="003A021B">
        <w:t xml:space="preserve">. </w:t>
      </w:r>
      <w:r w:rsidR="007E1A92">
        <w:t xml:space="preserve">2024 will </w:t>
      </w:r>
      <w:r w:rsidR="00364ED6">
        <w:t xml:space="preserve">include </w:t>
      </w:r>
      <w:r w:rsidR="00DC071F">
        <w:t>3 Ottawa</w:t>
      </w:r>
      <w:r w:rsidR="00A72ABC">
        <w:t xml:space="preserve"> internships </w:t>
      </w:r>
      <w:r w:rsidR="00DC071F">
        <w:t>and 1 new internship</w:t>
      </w:r>
      <w:r w:rsidR="00A72ABC">
        <w:t xml:space="preserve"> </w:t>
      </w:r>
      <w:r w:rsidR="00DC071F">
        <w:t>Toronto, growing the program</w:t>
      </w:r>
      <w:r w:rsidR="006B7DD6">
        <w:t xml:space="preserve"> to 4</w:t>
      </w:r>
      <w:r w:rsidR="00A72ABC">
        <w:t xml:space="preserve">. We hope </w:t>
      </w:r>
      <w:r w:rsidR="00840E50">
        <w:t xml:space="preserve">this </w:t>
      </w:r>
      <w:r w:rsidR="00C87B6E">
        <w:t>rubric</w:t>
      </w:r>
      <w:r w:rsidR="00840E50">
        <w:t xml:space="preserve"> </w:t>
      </w:r>
      <w:r w:rsidR="00F05181">
        <w:t>to be</w:t>
      </w:r>
      <w:r w:rsidR="003C1051" w:rsidRPr="003A021B">
        <w:t xml:space="preserve"> adopted by other international programs</w:t>
      </w:r>
      <w:r w:rsidR="00E43C6D">
        <w:t xml:space="preserve"> wishing to establish a similar foundation</w:t>
      </w:r>
      <w:r w:rsidR="008D6989">
        <w:t xml:space="preserve"> for a modern Clinical Engineering Internship</w:t>
      </w:r>
      <w:r w:rsidR="00E43C6D">
        <w:t>.</w:t>
      </w:r>
    </w:p>
    <w:p w14:paraId="21832691" w14:textId="5DA2C4CD" w:rsidR="00702083" w:rsidRDefault="00702083">
      <w:pPr>
        <w:pStyle w:val="keywords"/>
        <w:rPr>
          <w:snapToGrid w:val="0"/>
          <w:lang w:eastAsia="ja-JP"/>
        </w:rPr>
      </w:pPr>
      <w:r>
        <w:rPr>
          <w:rStyle w:val="italic"/>
          <w:b w:val="0"/>
        </w:rPr>
        <w:t>Keywords</w:t>
      </w:r>
      <w:r>
        <w:t>—</w:t>
      </w:r>
      <w:r w:rsidR="0041338A">
        <w:t xml:space="preserve"> </w:t>
      </w:r>
      <w:r w:rsidR="00AD6B91">
        <w:t xml:space="preserve">internship, </w:t>
      </w:r>
      <w:r w:rsidR="0041338A">
        <w:t xml:space="preserve">OCIBME, </w:t>
      </w:r>
      <w:r w:rsidR="00AD6B91">
        <w:t>training, education</w:t>
      </w:r>
    </w:p>
    <w:p w14:paraId="3F6B3EC7" w14:textId="77777777" w:rsidR="00702083" w:rsidRDefault="00702083">
      <w:pPr>
        <w:pStyle w:val="heading10"/>
        <w:rPr>
          <w:rStyle w:val="AbsatzNormal"/>
        </w:rPr>
      </w:pPr>
      <w:r>
        <w:rPr>
          <w:rStyle w:val="initial12"/>
        </w:rPr>
        <w:t>I</w:t>
      </w:r>
      <w:r>
        <w:t xml:space="preserve">NTRODUCTION </w:t>
      </w:r>
    </w:p>
    <w:p w14:paraId="2729C42E" w14:textId="55BD0F9B" w:rsidR="002444E7" w:rsidRDefault="006C2D73" w:rsidP="002444E7">
      <w:r>
        <w:t>Clinical Engineering</w:t>
      </w:r>
      <w:r w:rsidR="00293372">
        <w:t xml:space="preserve"> (CE)</w:t>
      </w:r>
      <w:r>
        <w:t xml:space="preserve"> is relatively</w:t>
      </w:r>
      <w:r w:rsidR="005D53E5">
        <w:t xml:space="preserve"> </w:t>
      </w:r>
      <w:r>
        <w:t xml:space="preserve">a </w:t>
      </w:r>
      <w:r w:rsidR="00CE5092">
        <w:t xml:space="preserve">young profession of </w:t>
      </w:r>
      <w:r w:rsidR="00321F0C">
        <w:t>~</w:t>
      </w:r>
      <w:r w:rsidR="00CE5092">
        <w:t xml:space="preserve">60 years </w:t>
      </w:r>
      <w:r w:rsidR="005D53E5">
        <w:t>[</w:t>
      </w:r>
      <w:r w:rsidR="00D13713">
        <w:t>1</w:t>
      </w:r>
      <w:r w:rsidR="005D53E5">
        <w:t xml:space="preserve">] </w:t>
      </w:r>
      <w:r>
        <w:t>which has</w:t>
      </w:r>
      <w:r w:rsidR="00CE5092">
        <w:t xml:space="preserve"> purpose and unquestionable need </w:t>
      </w:r>
      <w:r w:rsidR="005E41CF">
        <w:t>with</w:t>
      </w:r>
      <w:r w:rsidR="00CE5092">
        <w:t xml:space="preserve"> the </w:t>
      </w:r>
      <w:r w:rsidR="00C76A84">
        <w:t>proliferation</w:t>
      </w:r>
      <w:r w:rsidR="005E41CF">
        <w:t>,</w:t>
      </w:r>
      <w:r w:rsidR="00CE5092">
        <w:t xml:space="preserve"> </w:t>
      </w:r>
      <w:r w:rsidR="005E41CF">
        <w:t>and</w:t>
      </w:r>
      <w:r w:rsidR="00CE5092">
        <w:t xml:space="preserve"> complexity of medical equipment in healthcare. The commonly accepted definition of a clinical engineer by the American College of Clinical Engineering</w:t>
      </w:r>
      <w:r w:rsidR="004607E3">
        <w:t xml:space="preserve"> (ACCE)</w:t>
      </w:r>
      <w:r w:rsidR="00CE5092">
        <w:t xml:space="preserve"> remains </w:t>
      </w:r>
      <w:r w:rsidR="006659BA" w:rsidRPr="006659BA">
        <w:t>a “professional who supports and advances patient care</w:t>
      </w:r>
      <w:r w:rsidR="006659BA">
        <w:t xml:space="preserve"> </w:t>
      </w:r>
      <w:r w:rsidR="006659BA" w:rsidRPr="006659BA">
        <w:t>by applying engineering and managerial skills to health care</w:t>
      </w:r>
      <w:r w:rsidR="006659BA">
        <w:t xml:space="preserve"> </w:t>
      </w:r>
      <w:r w:rsidR="006659BA" w:rsidRPr="006659BA">
        <w:t>technology” [</w:t>
      </w:r>
      <w:r w:rsidR="00D13713">
        <w:t>2</w:t>
      </w:r>
      <w:r w:rsidR="006659BA" w:rsidRPr="006659BA">
        <w:t>].</w:t>
      </w:r>
      <w:r w:rsidR="00B27330">
        <w:t xml:space="preserve"> While the demand of healthcare technology has</w:t>
      </w:r>
      <w:r w:rsidR="006F0EDB">
        <w:t xml:space="preserve"> exp</w:t>
      </w:r>
      <w:r w:rsidR="00CC263D">
        <w:t>anded</w:t>
      </w:r>
      <w:r w:rsidR="006F0EDB">
        <w:t xml:space="preserve"> in hospitals,</w:t>
      </w:r>
      <w:r w:rsidR="00E367A3">
        <w:t xml:space="preserve"> </w:t>
      </w:r>
      <w:r w:rsidR="003278D9">
        <w:t>and</w:t>
      </w:r>
      <w:r w:rsidR="00B42400">
        <w:t xml:space="preserve"> clinicians are </w:t>
      </w:r>
      <w:r w:rsidR="00A91904">
        <w:t>very</w:t>
      </w:r>
      <w:r w:rsidR="00B42400">
        <w:t xml:space="preserve"> dependent on equipment to </w:t>
      </w:r>
      <w:r w:rsidR="000356EC">
        <w:t>apply their skills</w:t>
      </w:r>
      <w:r w:rsidR="009A3D80">
        <w:t xml:space="preserve"> [</w:t>
      </w:r>
      <w:r w:rsidR="0024302E">
        <w:t>3</w:t>
      </w:r>
      <w:r w:rsidR="009A3D80">
        <w:t>]</w:t>
      </w:r>
      <w:r w:rsidR="000356EC">
        <w:t xml:space="preserve">, </w:t>
      </w:r>
      <w:r w:rsidR="006F0EDB">
        <w:t>the</w:t>
      </w:r>
      <w:r w:rsidR="006F2B77">
        <w:t xml:space="preserve"> growth </w:t>
      </w:r>
      <w:r w:rsidR="006F0EDB">
        <w:t xml:space="preserve">of </w:t>
      </w:r>
      <w:r w:rsidR="00C62DC5">
        <w:t xml:space="preserve">the </w:t>
      </w:r>
      <w:r w:rsidR="006F0EDB">
        <w:t>clinical engineer</w:t>
      </w:r>
      <w:r w:rsidR="00C62DC5">
        <w:t>ing profession</w:t>
      </w:r>
      <w:r w:rsidR="006F0EDB">
        <w:t xml:space="preserve"> </w:t>
      </w:r>
      <w:r w:rsidR="00E367A3">
        <w:t xml:space="preserve">has been </w:t>
      </w:r>
      <w:r w:rsidR="005D53E5">
        <w:t>s</w:t>
      </w:r>
      <w:r w:rsidR="005907C2">
        <w:t>o</w:t>
      </w:r>
      <w:r w:rsidR="006F2B77">
        <w:t xml:space="preserve">mewhat </w:t>
      </w:r>
      <w:r w:rsidR="00373243">
        <w:t>stagnant</w:t>
      </w:r>
      <w:r w:rsidR="002D7CF3">
        <w:t>.</w:t>
      </w:r>
      <w:r w:rsidR="00373243">
        <w:t xml:space="preserve"> </w:t>
      </w:r>
      <w:r w:rsidR="004C01B2">
        <w:t xml:space="preserve">The need to develop clinical engineering skillset is imperative to ensure the </w:t>
      </w:r>
      <w:r w:rsidR="00595161">
        <w:t>proper</w:t>
      </w:r>
      <w:r w:rsidR="008F588F">
        <w:t xml:space="preserve"> development of </w:t>
      </w:r>
      <w:r w:rsidR="00274802">
        <w:t>not only the field but of the workforce of tomorrow.</w:t>
      </w:r>
      <w:r w:rsidR="00CA4F78">
        <w:t xml:space="preserve"> Clinical Engineering </w:t>
      </w:r>
      <w:r w:rsidR="00FC0343">
        <w:t>training programs that deliver these skillsets</w:t>
      </w:r>
      <w:r w:rsidR="0079797A">
        <w:t xml:space="preserve"> need to be </w:t>
      </w:r>
      <w:r w:rsidR="001912B2">
        <w:t>advertised and supporte</w:t>
      </w:r>
      <w:r w:rsidR="00892A7E">
        <w:t xml:space="preserve">d </w:t>
      </w:r>
      <w:r w:rsidR="0024302E">
        <w:t>to</w:t>
      </w:r>
      <w:r w:rsidR="00892A7E">
        <w:t xml:space="preserve"> sustain the</w:t>
      </w:r>
      <w:r w:rsidR="001400EE">
        <w:t xml:space="preserve"> future requirements of</w:t>
      </w:r>
      <w:r w:rsidR="00892A7E">
        <w:t xml:space="preserve"> health technology management</w:t>
      </w:r>
      <w:r w:rsidR="000A3134">
        <w:t xml:space="preserve"> in hospitals [</w:t>
      </w:r>
      <w:r w:rsidR="0024302E">
        <w:t>4</w:t>
      </w:r>
      <w:r w:rsidR="000A3134">
        <w:t>].</w:t>
      </w:r>
    </w:p>
    <w:p w14:paraId="3357409A" w14:textId="724427F9" w:rsidR="00C76A84" w:rsidRPr="0045527E" w:rsidRDefault="00C76A84" w:rsidP="00C76A84">
      <w:pPr>
        <w:pStyle w:val="heading10"/>
      </w:pPr>
      <w:r w:rsidRPr="0045527E">
        <w:t>Background</w:t>
      </w:r>
    </w:p>
    <w:p w14:paraId="786BAD2E" w14:textId="2146E3C9" w:rsidR="00AD6B91" w:rsidRDefault="00617A24" w:rsidP="00DE0DF4">
      <w:r>
        <w:t>The Ottawa-Carleton Institute</w:t>
      </w:r>
      <w:r w:rsidR="008F4FFB">
        <w:t xml:space="preserve"> for</w:t>
      </w:r>
      <w:r>
        <w:t xml:space="preserve"> Biomedical Engineering</w:t>
      </w:r>
      <w:r w:rsidR="00AD6B91">
        <w:t xml:space="preserve"> (OCIBME)</w:t>
      </w:r>
      <w:r>
        <w:t xml:space="preserve"> was established in 2006 and is a collaboration between the University of Ottawa and Carleton University</w:t>
      </w:r>
      <w:r w:rsidR="00C76A84">
        <w:t>. It</w:t>
      </w:r>
      <w:r>
        <w:t xml:space="preserve"> draws on the expertise of prominent researchers and medical </w:t>
      </w:r>
      <w:r>
        <w:t>professionals from hospitals and well-established medical research institutions</w:t>
      </w:r>
      <w:r w:rsidR="00C76A84">
        <w:t xml:space="preserve"> [</w:t>
      </w:r>
      <w:r w:rsidR="0024302E">
        <w:t>5</w:t>
      </w:r>
      <w:r w:rsidR="00C76A84">
        <w:t>]</w:t>
      </w:r>
      <w:r>
        <w:t xml:space="preserve">. The </w:t>
      </w:r>
      <w:r w:rsidR="00C050E9">
        <w:t>I</w:t>
      </w:r>
      <w:r w:rsidR="00C76A84">
        <w:t>nstitute</w:t>
      </w:r>
      <w:r>
        <w:t xml:space="preserve"> has </w:t>
      </w:r>
      <w:r w:rsidR="00CD21B5">
        <w:t>offered</w:t>
      </w:r>
      <w:r>
        <w:t xml:space="preserve"> a Master of Engineering (M.Eng.) with a Concentration in Clinical Engineering </w:t>
      </w:r>
      <w:r w:rsidR="00F7131D">
        <w:t>since</w:t>
      </w:r>
      <w:r w:rsidR="005C519E">
        <w:t xml:space="preserve"> 2</w:t>
      </w:r>
      <w:r w:rsidR="005C519E" w:rsidRPr="00BE2AA2">
        <w:t>013</w:t>
      </w:r>
      <w:r w:rsidR="00F7131D">
        <w:t>, with its first graduate</w:t>
      </w:r>
      <w:r w:rsidR="0045463B">
        <w:t xml:space="preserve"> </w:t>
      </w:r>
      <w:r w:rsidR="00C76A84">
        <w:t>[</w:t>
      </w:r>
      <w:r w:rsidR="0024302E">
        <w:t>4</w:t>
      </w:r>
      <w:r w:rsidR="00C76A84">
        <w:t>]</w:t>
      </w:r>
      <w:r>
        <w:t xml:space="preserve">. </w:t>
      </w:r>
      <w:r w:rsidR="00AD6B91">
        <w:t>The OCIB</w:t>
      </w:r>
      <w:r w:rsidR="008F4FFB">
        <w:t>M</w:t>
      </w:r>
      <w:r w:rsidR="00AD6B91">
        <w:t>E clinical engineering program</w:t>
      </w:r>
      <w:r w:rsidR="00DE0DF4">
        <w:t xml:space="preserve"> remains one of the last bastions in Canadian education train</w:t>
      </w:r>
      <w:r w:rsidR="00075E81">
        <w:t>ing</w:t>
      </w:r>
      <w:r w:rsidR="00DE0DF4">
        <w:t xml:space="preserve"> graduate students in the field of clinical engineering. In the last decade, clinical engineering programs at the University of New Brunswick, University of Saskatchewan, </w:t>
      </w:r>
      <w:r w:rsidR="00AD6B91">
        <w:t>University of British Columbia and most recently the University of Toronto</w:t>
      </w:r>
      <w:r w:rsidR="00C77D32">
        <w:t xml:space="preserve"> (UofT)</w:t>
      </w:r>
      <w:r w:rsidR="00AD6B91">
        <w:t xml:space="preserve"> have either cut the program curriculum, eliminated clinical engineering program ‘branding’ on their website or have suspended admissions </w:t>
      </w:r>
      <w:r w:rsidR="00CA3D00">
        <w:t>[6]</w:t>
      </w:r>
      <w:r w:rsidR="00AD6B91">
        <w:t>.</w:t>
      </w:r>
      <w:r w:rsidR="00F56845">
        <w:t xml:space="preserve"> The </w:t>
      </w:r>
      <w:r w:rsidR="000A381F">
        <w:t>Universit</w:t>
      </w:r>
      <w:r w:rsidR="00645AA8" w:rsidRPr="00D1081B">
        <w:t>é</w:t>
      </w:r>
      <w:r w:rsidR="000A381F" w:rsidRPr="00645AA8">
        <w:t xml:space="preserve"> </w:t>
      </w:r>
      <w:r w:rsidR="00F56845">
        <w:t>de Montreal offers a “</w:t>
      </w:r>
      <w:r w:rsidR="0022686B">
        <w:t xml:space="preserve">Maîtrise </w:t>
      </w:r>
      <w:r w:rsidR="00F56845">
        <w:t xml:space="preserve">option </w:t>
      </w:r>
      <w:r w:rsidR="0022686B">
        <w:t xml:space="preserve">Génie </w:t>
      </w:r>
      <w:r w:rsidR="00F56845">
        <w:t>Clinique” (</w:t>
      </w:r>
      <w:r w:rsidR="0022686B">
        <w:t xml:space="preserve">Masters </w:t>
      </w:r>
      <w:r w:rsidR="00F56845">
        <w:t>clinical engineering option) [</w:t>
      </w:r>
      <w:r w:rsidR="00CA3D00">
        <w:t>7</w:t>
      </w:r>
      <w:r w:rsidR="00F56845">
        <w:t>]</w:t>
      </w:r>
      <w:r w:rsidR="001E565B">
        <w:t xml:space="preserve"> the only other known school in 202</w:t>
      </w:r>
      <w:r w:rsidR="00FB7878">
        <w:t>4</w:t>
      </w:r>
      <w:r w:rsidR="001E565B">
        <w:t xml:space="preserve"> to offer </w:t>
      </w:r>
      <w:r w:rsidR="008946D8">
        <w:t>a specialized clinical engineering program</w:t>
      </w:r>
      <w:r w:rsidR="00FB7878">
        <w:t>, and the only one</w:t>
      </w:r>
      <w:r w:rsidR="008C0941">
        <w:t xml:space="preserve"> in </w:t>
      </w:r>
      <w:r w:rsidR="00F67487">
        <w:t>French</w:t>
      </w:r>
      <w:r w:rsidR="00FB7878">
        <w:t xml:space="preserve"> language</w:t>
      </w:r>
      <w:r w:rsidR="00F56845">
        <w:t>.</w:t>
      </w:r>
    </w:p>
    <w:p w14:paraId="3F55CF7A" w14:textId="5409AE04" w:rsidR="006D0CC9" w:rsidRDefault="003917DD" w:rsidP="00DE0DF4">
      <w:r>
        <w:t xml:space="preserve">Students interested in </w:t>
      </w:r>
      <w:r w:rsidR="00AD6B91">
        <w:t>the</w:t>
      </w:r>
      <w:r>
        <w:t xml:space="preserve"> program apply to the </w:t>
      </w:r>
      <w:r w:rsidR="008B56AF">
        <w:t xml:space="preserve">OCIBME </w:t>
      </w:r>
      <w:r>
        <w:t xml:space="preserve">school of choice </w:t>
      </w:r>
      <w:r w:rsidR="006D0CC9">
        <w:t>and</w:t>
      </w:r>
      <w:r>
        <w:t xml:space="preserve"> once accepted, answer the call for applications </w:t>
      </w:r>
      <w:r w:rsidR="008B56AF">
        <w:t>for</w:t>
      </w:r>
      <w:r>
        <w:t xml:space="preserve"> the Clinical Engineering </w:t>
      </w:r>
      <w:r w:rsidR="00A16169">
        <w:t>concentration</w:t>
      </w:r>
      <w:r>
        <w:t xml:space="preserve">. </w:t>
      </w:r>
      <w:r w:rsidR="00DE0DF4">
        <w:t>A</w:t>
      </w:r>
      <w:r w:rsidR="00F72C4B">
        <w:t xml:space="preserve"> commonly accepted</w:t>
      </w:r>
      <w:r>
        <w:t xml:space="preserve"> </w:t>
      </w:r>
      <w:r w:rsidR="00DE0DF4">
        <w:t>requisite</w:t>
      </w:r>
      <w:r>
        <w:t xml:space="preserve"> of </w:t>
      </w:r>
      <w:r w:rsidR="00F72C4B">
        <w:t>a</w:t>
      </w:r>
      <w:r>
        <w:t xml:space="preserve"> Clinical Engineering focused master’s degree is the </w:t>
      </w:r>
      <w:r w:rsidR="00B92ACA">
        <w:t>i</w:t>
      </w:r>
      <w:r>
        <w:t xml:space="preserve">nternship. </w:t>
      </w:r>
      <w:r w:rsidR="006D0CC9">
        <w:t>The OCIMBE has 3 main partners including: The Children’s Hospital of Eastern Ontario</w:t>
      </w:r>
      <w:r w:rsidR="00B02FEC">
        <w:t xml:space="preserve"> (CHEO)</w:t>
      </w:r>
      <w:r w:rsidR="006D0CC9">
        <w:t>, University of Ottawa Heart Institute</w:t>
      </w:r>
      <w:r w:rsidR="00B02FEC">
        <w:t xml:space="preserve"> (UOHI)</w:t>
      </w:r>
      <w:r w:rsidR="006D0CC9">
        <w:t xml:space="preserve"> and The Ottawa Hospital</w:t>
      </w:r>
      <w:r w:rsidR="00B02FEC">
        <w:t xml:space="preserve"> (TOH)</w:t>
      </w:r>
      <w:r w:rsidR="006D0CC9">
        <w:t>.</w:t>
      </w:r>
    </w:p>
    <w:p w14:paraId="3415E517" w14:textId="7032639D" w:rsidR="00AD14F1" w:rsidRDefault="003917DD" w:rsidP="00E33BB3">
      <w:r>
        <w:t xml:space="preserve">The concept of an internship is not </w:t>
      </w:r>
      <w:r w:rsidR="008E5FC4">
        <w:t>new and</w:t>
      </w:r>
      <w:r>
        <w:t xml:space="preserve"> has been </w:t>
      </w:r>
      <w:r w:rsidR="002B520B">
        <w:t xml:space="preserve">well </w:t>
      </w:r>
      <w:r w:rsidR="00DE0DF4">
        <w:t xml:space="preserve">described by others since the early 1970s </w:t>
      </w:r>
      <w:r w:rsidR="00AD543E">
        <w:t xml:space="preserve">focusing on </w:t>
      </w:r>
      <w:r w:rsidR="001E3598">
        <w:t xml:space="preserve">introducing </w:t>
      </w:r>
      <w:r w:rsidR="00440600">
        <w:t xml:space="preserve">the </w:t>
      </w:r>
      <w:r w:rsidR="006C50C9">
        <w:t xml:space="preserve">application of technologies from the hospital </w:t>
      </w:r>
      <w:r w:rsidR="00711360">
        <w:t>settings</w:t>
      </w:r>
      <w:r w:rsidR="00850F0E">
        <w:t xml:space="preserve"> and</w:t>
      </w:r>
      <w:r w:rsidR="001312B7">
        <w:t xml:space="preserve"> direct involvement in clinical research</w:t>
      </w:r>
      <w:r w:rsidR="00F723D5">
        <w:t xml:space="preserve"> </w:t>
      </w:r>
      <w:r w:rsidR="00711360">
        <w:t>[</w:t>
      </w:r>
      <w:r w:rsidR="00342BFB">
        <w:t>8-13</w:t>
      </w:r>
      <w:r w:rsidR="00711360">
        <w:t>]</w:t>
      </w:r>
      <w:r w:rsidR="001C489E">
        <w:t>.</w:t>
      </w:r>
      <w:r w:rsidR="00C53FA5">
        <w:t xml:space="preserve"> More recently others</w:t>
      </w:r>
      <w:r w:rsidR="001E4807">
        <w:t xml:space="preserve"> tried to </w:t>
      </w:r>
      <w:r w:rsidR="00D444CD" w:rsidRPr="00E33BB3">
        <w:t>focus</w:t>
      </w:r>
      <w:r w:rsidR="00E33BB3" w:rsidRPr="00E33BB3">
        <w:t xml:space="preserve"> primarily</w:t>
      </w:r>
      <w:r w:rsidR="00E33BB3">
        <w:t xml:space="preserve"> </w:t>
      </w:r>
      <w:r w:rsidR="00E33BB3" w:rsidRPr="00E33BB3">
        <w:t>on the design, development, implementation, and</w:t>
      </w:r>
      <w:r w:rsidR="00E33BB3">
        <w:t xml:space="preserve"> </w:t>
      </w:r>
      <w:r w:rsidR="00E33BB3" w:rsidRPr="00E33BB3">
        <w:t>regulatory affairs of clinical equipment and devices, as</w:t>
      </w:r>
      <w:r w:rsidR="00E33BB3">
        <w:t xml:space="preserve"> </w:t>
      </w:r>
      <w:r w:rsidR="00E33BB3" w:rsidRPr="00E33BB3">
        <w:t>well as the health technology and hospital facility management</w:t>
      </w:r>
      <w:r w:rsidR="00DC14BF">
        <w:t xml:space="preserve"> [</w:t>
      </w:r>
      <w:r w:rsidR="0011677A">
        <w:t>14, 15]</w:t>
      </w:r>
      <w:r w:rsidR="003C2E62">
        <w:t>.</w:t>
      </w:r>
    </w:p>
    <w:p w14:paraId="64B39D61" w14:textId="72D2EB47" w:rsidR="00530869" w:rsidRDefault="002B520B" w:rsidP="00E33BB3">
      <w:r>
        <w:t xml:space="preserve">The </w:t>
      </w:r>
      <w:r w:rsidR="00DA2EF8">
        <w:t xml:space="preserve">education and training </w:t>
      </w:r>
      <w:r w:rsidR="00243EB7">
        <w:t>pathway for clinical engineer</w:t>
      </w:r>
      <w:r w:rsidR="005A55B6">
        <w:t>s</w:t>
      </w:r>
      <w:r w:rsidR="00243EB7">
        <w:t xml:space="preserve"> follows parallels to that of medical doctors; there is foundational academic study and complementary hands-on clinical internship</w:t>
      </w:r>
      <w:r w:rsidR="00B90A72">
        <w:t xml:space="preserve"> [</w:t>
      </w:r>
      <w:r w:rsidR="005F289D">
        <w:t>13</w:t>
      </w:r>
      <w:r w:rsidR="00B90A72">
        <w:t>]</w:t>
      </w:r>
      <w:r w:rsidR="00243EB7">
        <w:t xml:space="preserve">. </w:t>
      </w:r>
      <w:r>
        <w:t>The internship</w:t>
      </w:r>
      <w:r w:rsidR="00243EB7">
        <w:t>s of the past describe import</w:t>
      </w:r>
      <w:r w:rsidR="00BF44D9">
        <w:t>ant</w:t>
      </w:r>
      <w:r w:rsidR="00530869">
        <w:t xml:space="preserve"> key objectives obtaining exposure to technology and often focusing on the design of equipment</w:t>
      </w:r>
      <w:r w:rsidR="00537908">
        <w:t xml:space="preserve"> </w:t>
      </w:r>
      <w:r w:rsidR="005B0AD8">
        <w:t>[</w:t>
      </w:r>
      <w:r w:rsidR="005F289D">
        <w:t>11</w:t>
      </w:r>
      <w:r w:rsidR="00644533">
        <w:t xml:space="preserve">, </w:t>
      </w:r>
      <w:r w:rsidR="005F289D">
        <w:t>12]</w:t>
      </w:r>
      <w:r w:rsidR="00530869">
        <w:t xml:space="preserve">. </w:t>
      </w:r>
      <w:r w:rsidR="00DA2EF8">
        <w:t>A</w:t>
      </w:r>
      <w:r w:rsidR="00530869">
        <w:t xml:space="preserve">rticles describe the focus of a clinical engineer solving clinical problems of the day. </w:t>
      </w:r>
      <w:r w:rsidR="00864688">
        <w:t xml:space="preserve">While the </w:t>
      </w:r>
      <w:r w:rsidR="00243EB7">
        <w:t>modern internship</w:t>
      </w:r>
      <w:r w:rsidR="00530869">
        <w:t xml:space="preserve"> </w:t>
      </w:r>
      <w:r w:rsidR="00864688">
        <w:t xml:space="preserve">achieves the </w:t>
      </w:r>
      <w:r w:rsidR="00864688">
        <w:lastRenderedPageBreak/>
        <w:t xml:space="preserve">same primary principle converting the academic learning into relevant healthcare applications, </w:t>
      </w:r>
      <w:r w:rsidR="00664653">
        <w:t>it focuse</w:t>
      </w:r>
      <w:r w:rsidR="006F378F">
        <w:t>s</w:t>
      </w:r>
      <w:r w:rsidR="00664653">
        <w:t xml:space="preserve"> on </w:t>
      </w:r>
      <w:r w:rsidR="00864688">
        <w:t xml:space="preserve">specific skills and </w:t>
      </w:r>
      <w:r w:rsidR="00664653">
        <w:t xml:space="preserve">the enhancement of </w:t>
      </w:r>
      <w:r w:rsidR="00864688">
        <w:t>personal attributes</w:t>
      </w:r>
      <w:r w:rsidR="00664653">
        <w:t xml:space="preserve"> to produce a competent clinical engineering intern ready for the </w:t>
      </w:r>
      <w:r w:rsidR="006D0CC9">
        <w:t>hospital setting</w:t>
      </w:r>
      <w:r w:rsidR="00BC7199">
        <w:t xml:space="preserve"> </w:t>
      </w:r>
      <w:r w:rsidR="00BC7199" w:rsidRPr="00974B25">
        <w:t>[</w:t>
      </w:r>
      <w:r w:rsidR="005F289D">
        <w:t>10</w:t>
      </w:r>
      <w:r w:rsidR="00BC7199" w:rsidRPr="00974B25">
        <w:t>].</w:t>
      </w:r>
    </w:p>
    <w:p w14:paraId="05E248DC" w14:textId="226014C2" w:rsidR="00702083" w:rsidRDefault="00530869">
      <w:r>
        <w:t xml:space="preserve">Herein, the authors describe a clinical engineering </w:t>
      </w:r>
      <w:r w:rsidR="00A77352">
        <w:t>I</w:t>
      </w:r>
      <w:r>
        <w:t xml:space="preserve">nternship format that has been </w:t>
      </w:r>
      <w:r w:rsidR="0045463B">
        <w:t>developed</w:t>
      </w:r>
      <w:r w:rsidR="00A561DC">
        <w:t xml:space="preserve"> and refined into </w:t>
      </w:r>
      <w:r w:rsidR="0045463B">
        <w:t xml:space="preserve">a </w:t>
      </w:r>
      <w:r w:rsidR="00F21F8E">
        <w:t>rubric</w:t>
      </w:r>
      <w:r w:rsidR="0030468C">
        <w:t xml:space="preserve">. It </w:t>
      </w:r>
      <w:r w:rsidR="00911915">
        <w:t xml:space="preserve">targets </w:t>
      </w:r>
      <w:r w:rsidR="002E54AE">
        <w:t>exercising</w:t>
      </w:r>
      <w:r w:rsidR="00243EB7">
        <w:t xml:space="preserve"> </w:t>
      </w:r>
      <w:r w:rsidR="0030468C">
        <w:t xml:space="preserve">foundational </w:t>
      </w:r>
      <w:r w:rsidR="00F7622A">
        <w:t xml:space="preserve">personal </w:t>
      </w:r>
      <w:r w:rsidR="00911915">
        <w:t>attributes and a comprehensive skillset</w:t>
      </w:r>
      <w:r w:rsidR="0030468C">
        <w:t xml:space="preserve"> </w:t>
      </w:r>
      <w:r w:rsidR="00911915">
        <w:t xml:space="preserve">used </w:t>
      </w:r>
      <w:r w:rsidR="00F7622A">
        <w:t>for modern</w:t>
      </w:r>
      <w:r w:rsidR="00911915">
        <w:t xml:space="preserve"> clinical engineering</w:t>
      </w:r>
      <w:r w:rsidR="00F7622A">
        <w:t xml:space="preserve"> challenges</w:t>
      </w:r>
      <w:r w:rsidR="00911915">
        <w:t xml:space="preserve">. We hope that </w:t>
      </w:r>
      <w:r w:rsidR="00F7622A">
        <w:t>this article will serve to enshrine the skills required for a modern-day clinical engineering internship and possibly assist others to mimic this</w:t>
      </w:r>
      <w:r w:rsidR="00911915">
        <w:t xml:space="preserve"> model</w:t>
      </w:r>
      <w:r w:rsidR="00F7622A">
        <w:t xml:space="preserve"> for </w:t>
      </w:r>
      <w:r w:rsidR="00BC7199">
        <w:t>another</w:t>
      </w:r>
      <w:r w:rsidR="00F7622A">
        <w:t xml:space="preserve"> CE internship</w:t>
      </w:r>
      <w:r w:rsidR="00BC7199">
        <w:t xml:space="preserve"> program</w:t>
      </w:r>
      <w:r w:rsidR="00F7622A">
        <w:t>.</w:t>
      </w:r>
    </w:p>
    <w:p w14:paraId="6532F28E" w14:textId="2F91AD47" w:rsidR="001E18DA" w:rsidRPr="005D1021" w:rsidRDefault="008F4FFB" w:rsidP="00CD21B5">
      <w:pPr>
        <w:pStyle w:val="Heading2"/>
        <w:ind w:left="0"/>
      </w:pPr>
      <w:r w:rsidRPr="005D1021">
        <w:t xml:space="preserve">The Program </w:t>
      </w:r>
      <w:r w:rsidR="001E18DA" w:rsidRPr="005D1021">
        <w:t>Coursework</w:t>
      </w:r>
    </w:p>
    <w:p w14:paraId="4DAE8C66" w14:textId="1AD53619" w:rsidR="00545CCF" w:rsidRPr="005F4ACB" w:rsidRDefault="005F4ACB" w:rsidP="00545CCF">
      <w:r>
        <w:t xml:space="preserve">The OCIMBE Master’s program with concentration in Clinical Engineering requires </w:t>
      </w:r>
      <w:r w:rsidR="00505102">
        <w:t>27</w:t>
      </w:r>
      <w:r w:rsidR="009541E5">
        <w:t xml:space="preserve"> credits. Of these credits 15 are compulsory courses of 3 credits each that must be taken during the first year of the program. The courses </w:t>
      </w:r>
      <w:r w:rsidR="00B01016">
        <w:t>include</w:t>
      </w:r>
      <w:r w:rsidR="009541E5">
        <w:t xml:space="preserve"> </w:t>
      </w:r>
      <w:r w:rsidR="007A4063" w:rsidRPr="007A4063">
        <w:t>Biomedical Instrumentation</w:t>
      </w:r>
      <w:r w:rsidR="007A4063">
        <w:t xml:space="preserve">, </w:t>
      </w:r>
      <w:r w:rsidR="002015DE" w:rsidRPr="002015DE">
        <w:t>Medical Imaging Modalities</w:t>
      </w:r>
      <w:r w:rsidR="002015DE">
        <w:t xml:space="preserve">, </w:t>
      </w:r>
      <w:r w:rsidR="002015DE" w:rsidRPr="002015DE">
        <w:t>Introduction to Biomedical Engineering</w:t>
      </w:r>
      <w:r w:rsidR="002015DE">
        <w:t xml:space="preserve">, </w:t>
      </w:r>
      <w:r w:rsidR="00495BBF" w:rsidRPr="00495BBF">
        <w:t>Clinical Engineering</w:t>
      </w:r>
      <w:r w:rsidR="00495BBF">
        <w:t xml:space="preserve">, </w:t>
      </w:r>
      <w:r w:rsidR="00920C51" w:rsidRPr="00920C51">
        <w:t>Fundamentals of Policy I: Policy Analysis</w:t>
      </w:r>
      <w:r w:rsidR="00920C51">
        <w:t xml:space="preserve"> and </w:t>
      </w:r>
      <w:r w:rsidR="00364E64" w:rsidRPr="00364E64">
        <w:t>Biomedical Engineering Seminar</w:t>
      </w:r>
      <w:r w:rsidR="00364E64">
        <w:t>.</w:t>
      </w:r>
      <w:r w:rsidR="00F614CB">
        <w:t xml:space="preserve"> </w:t>
      </w:r>
      <w:r w:rsidR="00545CCF" w:rsidRPr="005F4ACB">
        <w:t xml:space="preserve">12 of </w:t>
      </w:r>
      <w:r w:rsidR="00505102">
        <w:t>27</w:t>
      </w:r>
      <w:r w:rsidR="00545CCF" w:rsidRPr="005F4ACB">
        <w:t xml:space="preserve"> credits are the Clinical Engineering internship</w:t>
      </w:r>
      <w:r w:rsidR="00364E64">
        <w:t xml:space="preserve"> and </w:t>
      </w:r>
      <w:r w:rsidR="00207E53" w:rsidRPr="00207E53">
        <w:t>Clinical Engineering Project</w:t>
      </w:r>
      <w:r w:rsidR="00207E53">
        <w:t xml:space="preserve"> </w:t>
      </w:r>
      <w:r w:rsidR="00505102">
        <w:t>(</w:t>
      </w:r>
      <w:r w:rsidR="00207E53">
        <w:t>6 credits each</w:t>
      </w:r>
      <w:r w:rsidR="00505102">
        <w:t>)</w:t>
      </w:r>
      <w:r w:rsidR="00207E53">
        <w:t xml:space="preserve"> and are the responsibility of the </w:t>
      </w:r>
      <w:r w:rsidR="005D1021">
        <w:t>internship supervisor</w:t>
      </w:r>
      <w:r w:rsidR="001B56AD">
        <w:t xml:space="preserve"> </w:t>
      </w:r>
      <w:r w:rsidR="00841507">
        <w:t>[</w:t>
      </w:r>
      <w:r w:rsidR="001D5B9C">
        <w:t>16</w:t>
      </w:r>
      <w:r w:rsidR="00644533">
        <w:t>-</w:t>
      </w:r>
      <w:r w:rsidR="001D5B9C">
        <w:t>17]</w:t>
      </w:r>
      <w:r w:rsidR="005D1021">
        <w:t>.</w:t>
      </w:r>
    </w:p>
    <w:p w14:paraId="0CECDD77" w14:textId="77777777" w:rsidR="00E44063" w:rsidRDefault="00E44063" w:rsidP="00E44063">
      <w:pPr>
        <w:pStyle w:val="Heading2"/>
        <w:ind w:left="0"/>
      </w:pPr>
      <w:r>
        <w:t>Goals of the Internship</w:t>
      </w:r>
    </w:p>
    <w:p w14:paraId="63A094CC" w14:textId="679E7A23" w:rsidR="00E44063" w:rsidRPr="004003AA" w:rsidRDefault="00133F1C" w:rsidP="004003AA">
      <w:r>
        <w:t xml:space="preserve">Internship Supervisors aim to provide clear objectives by </w:t>
      </w:r>
      <w:r w:rsidR="00E44063">
        <w:t>f</w:t>
      </w:r>
      <w:r w:rsidR="00E44063" w:rsidRPr="00BC7199">
        <w:t>ormaliz</w:t>
      </w:r>
      <w:r>
        <w:t>ing</w:t>
      </w:r>
      <w:r w:rsidR="00E44063" w:rsidRPr="00BC7199">
        <w:t xml:space="preserve"> </w:t>
      </w:r>
      <w:r>
        <w:t xml:space="preserve">the </w:t>
      </w:r>
      <w:r w:rsidR="00E44063" w:rsidRPr="00BC7199">
        <w:t xml:space="preserve">essential elements </w:t>
      </w:r>
      <w:r w:rsidR="009B0AC7">
        <w:t xml:space="preserve">that </w:t>
      </w:r>
      <w:r w:rsidR="00E44063" w:rsidRPr="00BC7199">
        <w:t>substantia</w:t>
      </w:r>
      <w:r w:rsidR="009B0AC7">
        <w:t>te</w:t>
      </w:r>
      <w:r w:rsidR="00E44063" w:rsidRPr="00BC7199">
        <w:t xml:space="preserve"> a </w:t>
      </w:r>
      <w:r w:rsidR="009B0AC7" w:rsidRPr="00BC7199">
        <w:t>modern</w:t>
      </w:r>
      <w:r w:rsidR="00E44063" w:rsidRPr="00BC7199">
        <w:t xml:space="preserve"> clinical engineering</w:t>
      </w:r>
      <w:r w:rsidR="00A77352">
        <w:t xml:space="preserve"> I</w:t>
      </w:r>
      <w:r w:rsidR="00E44063" w:rsidRPr="00BC7199">
        <w:t>nternship</w:t>
      </w:r>
      <w:r w:rsidR="001A2BA3">
        <w:t xml:space="preserve"> into a </w:t>
      </w:r>
      <w:r w:rsidR="000D72E6">
        <w:t>rubric</w:t>
      </w:r>
      <w:r w:rsidR="00E44063" w:rsidRPr="00BC7199">
        <w:t xml:space="preserve"> to prepare graduates for the demands of the profession and eventual certification in clinical engineering.</w:t>
      </w:r>
      <w:r w:rsidR="004003AA">
        <w:t xml:space="preserve"> One of the fundamental t</w:t>
      </w:r>
      <w:r w:rsidR="00E44063" w:rsidRPr="00BC7199">
        <w:t>enet</w:t>
      </w:r>
      <w:r w:rsidR="004003AA">
        <w:t>s</w:t>
      </w:r>
      <w:r w:rsidR="00205147">
        <w:t xml:space="preserve"> is</w:t>
      </w:r>
      <w:r w:rsidR="00E44063" w:rsidRPr="00BC7199">
        <w:t xml:space="preserve"> problem-based learning and personal goal exploration</w:t>
      </w:r>
      <w:r w:rsidR="00205147">
        <w:t>. Supervisors</w:t>
      </w:r>
      <w:r w:rsidR="001442AB">
        <w:t xml:space="preserve"> early on seek student interest to tailor the </w:t>
      </w:r>
      <w:r w:rsidR="00A77352">
        <w:t>I</w:t>
      </w:r>
      <w:r w:rsidR="001442AB">
        <w:t>nternship to provide the best experience for both parties. Supervisors must meet the student where they are at when the</w:t>
      </w:r>
      <w:r w:rsidR="00360FB2">
        <w:t>y</w:t>
      </w:r>
      <w:r w:rsidR="001442AB">
        <w:t xml:space="preserve"> </w:t>
      </w:r>
      <w:r w:rsidR="0036384F">
        <w:t>start but</w:t>
      </w:r>
      <w:r w:rsidR="001442AB">
        <w:t xml:space="preserve"> aim to </w:t>
      </w:r>
      <w:r w:rsidR="00214359">
        <w:t>push students to their potential by the end.</w:t>
      </w:r>
      <w:r w:rsidR="00450194">
        <w:t xml:space="preserve"> </w:t>
      </w:r>
      <w:r w:rsidR="007A6F55">
        <w:t>M</w:t>
      </w:r>
      <w:r w:rsidR="00450194">
        <w:t xml:space="preserve">entorship </w:t>
      </w:r>
      <w:r w:rsidR="007A6F55">
        <w:t>is mutually beneficial, and Supervisors</w:t>
      </w:r>
      <w:r w:rsidR="00214359">
        <w:t xml:space="preserve"> learn a considerable amount from their students </w:t>
      </w:r>
      <w:r w:rsidR="0036384F">
        <w:t xml:space="preserve">as well and use this to amend and adapt future </w:t>
      </w:r>
      <w:r w:rsidR="00A77352">
        <w:t>I</w:t>
      </w:r>
      <w:r w:rsidR="0036384F">
        <w:t>nternships.</w:t>
      </w:r>
    </w:p>
    <w:p w14:paraId="1F298F0E" w14:textId="73A9CD74" w:rsidR="00F7622A" w:rsidRDefault="001E18DA" w:rsidP="00E44063">
      <w:pPr>
        <w:pStyle w:val="Heading2"/>
        <w:ind w:left="0"/>
      </w:pPr>
      <w:r>
        <w:t xml:space="preserve">The </w:t>
      </w:r>
      <w:r w:rsidR="00F7622A">
        <w:t>Internship</w:t>
      </w:r>
    </w:p>
    <w:p w14:paraId="1861DDF3" w14:textId="6B29316D" w:rsidR="00F7622A" w:rsidRDefault="008F4FFB" w:rsidP="00F7622A">
      <w:r>
        <w:t xml:space="preserve">The </w:t>
      </w:r>
      <w:r w:rsidR="00A77352">
        <w:t>I</w:t>
      </w:r>
      <w:r w:rsidR="00F7622A">
        <w:t xml:space="preserve">nternship begins following Winter semester and spanning 2 terms, </w:t>
      </w:r>
      <w:r w:rsidR="00157248">
        <w:t>Summer,</w:t>
      </w:r>
      <w:r w:rsidR="00F7622A">
        <w:t xml:space="preserve"> and Fall. It is</w:t>
      </w:r>
      <w:r w:rsidR="00705199">
        <w:t xml:space="preserve"> </w:t>
      </w:r>
      <w:r w:rsidR="00F7622A">
        <w:t xml:space="preserve">8 </w:t>
      </w:r>
      <w:r w:rsidR="00AA4B55">
        <w:t>months</w:t>
      </w:r>
      <w:r w:rsidR="00F7622A">
        <w:t xml:space="preserve"> part</w:t>
      </w:r>
      <w:r w:rsidR="00AA4B55">
        <w:t>-</w:t>
      </w:r>
      <w:r w:rsidR="00157248">
        <w:t>time</w:t>
      </w:r>
      <w:r w:rsidR="00B05D9B">
        <w:t xml:space="preserve"> onsite work, </w:t>
      </w:r>
      <w:r w:rsidR="00EF4D43">
        <w:t xml:space="preserve">which translates to 650 hours of </w:t>
      </w:r>
      <w:r w:rsidR="00611281">
        <w:t>compensation</w:t>
      </w:r>
      <w:r w:rsidR="00F7622A">
        <w:t xml:space="preserve">. </w:t>
      </w:r>
      <w:r w:rsidR="00096F56">
        <w:t>T</w:t>
      </w:r>
      <w:r w:rsidR="00F7622A">
        <w:t>here is</w:t>
      </w:r>
      <w:r w:rsidR="00096F56">
        <w:t xml:space="preserve"> always</w:t>
      </w:r>
      <w:r w:rsidR="00F7622A">
        <w:t xml:space="preserve"> more work than can be done onsite and the student is </w:t>
      </w:r>
      <w:r w:rsidR="00096F56">
        <w:t>expected</w:t>
      </w:r>
      <w:r w:rsidR="00F7622A">
        <w:t xml:space="preserve"> to continue learning offsite</w:t>
      </w:r>
      <w:r w:rsidR="00BF0BC3">
        <w:t xml:space="preserve"> such</w:t>
      </w:r>
      <w:r w:rsidR="00F7622A">
        <w:t xml:space="preserve"> </w:t>
      </w:r>
      <w:r w:rsidR="00B26BE0">
        <w:t xml:space="preserve">as </w:t>
      </w:r>
      <w:r w:rsidR="00F7622A">
        <w:t>back</w:t>
      </w:r>
      <w:r w:rsidR="00F7622A">
        <w:t>ground reading, lit</w:t>
      </w:r>
      <w:r w:rsidR="001D503F">
        <w:t>erature</w:t>
      </w:r>
      <w:r w:rsidR="00F7622A">
        <w:t xml:space="preserve"> reviews and preparation for collaboration with supervisors</w:t>
      </w:r>
      <w:r w:rsidR="00BF0BC3">
        <w:t xml:space="preserve">, </w:t>
      </w:r>
      <w:r w:rsidR="00157248">
        <w:t>clinicians,</w:t>
      </w:r>
      <w:r w:rsidR="00BF0BC3">
        <w:t xml:space="preserve"> and vendors</w:t>
      </w:r>
      <w:r w:rsidR="00F7622A">
        <w:t>.</w:t>
      </w:r>
      <w:r w:rsidR="00817C16">
        <w:t xml:space="preserve"> Internship placements often have a list of suitable graduate level </w:t>
      </w:r>
      <w:r w:rsidR="001D503F">
        <w:t>projects.</w:t>
      </w:r>
    </w:p>
    <w:p w14:paraId="7D8C648A" w14:textId="17D13F5F" w:rsidR="00F7622A" w:rsidRDefault="00BF0BC3" w:rsidP="00F7622A">
      <w:r>
        <w:t>The</w:t>
      </w:r>
      <w:r w:rsidR="00F7622A">
        <w:t xml:space="preserve"> </w:t>
      </w:r>
      <w:r w:rsidR="00A77352">
        <w:t>I</w:t>
      </w:r>
      <w:r w:rsidR="001D503F">
        <w:t xml:space="preserve">nternship is broken into 4 </w:t>
      </w:r>
      <w:r w:rsidR="009B6A0F">
        <w:t>phases</w:t>
      </w:r>
      <w:r w:rsidR="00EC4CE3">
        <w:t xml:space="preserve"> of</w:t>
      </w:r>
      <w:r w:rsidR="00157248">
        <w:t xml:space="preserve"> </w:t>
      </w:r>
      <w:r w:rsidR="00EC4CE3">
        <w:t>2 months each. T</w:t>
      </w:r>
      <w:r w:rsidR="00C66FE7">
        <w:t xml:space="preserve">here are no hard </w:t>
      </w:r>
      <w:r w:rsidR="00B80B18">
        <w:t>boundaries</w:t>
      </w:r>
      <w:r w:rsidR="00C66FE7">
        <w:t xml:space="preserve"> between the</w:t>
      </w:r>
      <w:r w:rsidR="00EC4CE3">
        <w:t xml:space="preserve"> phases </w:t>
      </w:r>
      <w:r w:rsidR="00C66FE7">
        <w:t xml:space="preserve">and each intern progresses through the </w:t>
      </w:r>
      <w:r w:rsidR="00B80B18">
        <w:t>phases</w:t>
      </w:r>
      <w:r w:rsidR="00C66FE7">
        <w:t xml:space="preserve"> at their own pace</w:t>
      </w:r>
      <w:r w:rsidR="00F7274E">
        <w:t xml:space="preserve">. </w:t>
      </w:r>
      <w:r w:rsidR="00764ABD">
        <w:t xml:space="preserve">The first two months, consist of project planning as the intern integrates into the hospital and most student focus is geared to set them up for project success. </w:t>
      </w:r>
      <w:r w:rsidR="00764ABD">
        <w:t>T</w:t>
      </w:r>
      <w:r w:rsidR="00F7622A">
        <w:t>his can be a steep learning curve requir</w:t>
      </w:r>
      <w:r w:rsidR="00764ABD">
        <w:t>ing</w:t>
      </w:r>
      <w:r w:rsidR="00F7622A">
        <w:t xml:space="preserve"> considerable up-front support. </w:t>
      </w:r>
      <w:r w:rsidR="00F7274E">
        <w:t>I</w:t>
      </w:r>
      <w:r w:rsidR="00F7622A">
        <w:t xml:space="preserve">t </w:t>
      </w:r>
      <w:r w:rsidR="00F7274E">
        <w:t>can be</w:t>
      </w:r>
      <w:r w:rsidR="00F7622A">
        <w:t xml:space="preserve"> a </w:t>
      </w:r>
      <w:r w:rsidR="00F73333">
        <w:t>student’s</w:t>
      </w:r>
      <w:r w:rsidR="00F7622A">
        <w:t xml:space="preserve"> first </w:t>
      </w:r>
      <w:r w:rsidR="00F7274E">
        <w:t>exposure to</w:t>
      </w:r>
      <w:r w:rsidR="00F7622A">
        <w:t xml:space="preserve"> a clinical </w:t>
      </w:r>
      <w:r w:rsidR="00F73333">
        <w:t>setting,</w:t>
      </w:r>
      <w:r w:rsidR="00F7622A">
        <w:t xml:space="preserve"> </w:t>
      </w:r>
      <w:r w:rsidR="00764ABD">
        <w:t>which</w:t>
      </w:r>
      <w:r w:rsidR="00F7622A">
        <w:t xml:space="preserve"> can be </w:t>
      </w:r>
      <w:r w:rsidR="00F7274E">
        <w:t xml:space="preserve">intimidating and </w:t>
      </w:r>
      <w:r w:rsidR="00D055B6">
        <w:t>overwhelming</w:t>
      </w:r>
      <w:r w:rsidR="00F7622A">
        <w:t>.</w:t>
      </w:r>
      <w:r w:rsidR="00D055B6">
        <w:t xml:space="preserve"> </w:t>
      </w:r>
      <w:r w:rsidR="00764ABD">
        <w:t>During this time, potential projects</w:t>
      </w:r>
      <w:r w:rsidR="008073DF">
        <w:t xml:space="preserve"> are discussed</w:t>
      </w:r>
      <w:r w:rsidR="00764ABD">
        <w:t>.</w:t>
      </w:r>
      <w:r w:rsidR="00764ABD">
        <w:t xml:space="preserve"> </w:t>
      </w:r>
      <w:r w:rsidR="008073DF">
        <w:t>T</w:t>
      </w:r>
      <w:r w:rsidR="009B6A0F">
        <w:t>he second phase</w:t>
      </w:r>
      <w:r w:rsidR="00081D5C">
        <w:t xml:space="preserve"> is the</w:t>
      </w:r>
      <w:r w:rsidR="009B6A0F">
        <w:t xml:space="preserve"> project</w:t>
      </w:r>
      <w:r w:rsidR="00081D5C">
        <w:t xml:space="preserve"> start</w:t>
      </w:r>
      <w:r w:rsidR="00936E58">
        <w:t xml:space="preserve"> such as </w:t>
      </w:r>
      <w:r w:rsidR="009A60B3">
        <w:t>background reading, meet</w:t>
      </w:r>
      <w:r w:rsidR="00936E58">
        <w:t>ing</w:t>
      </w:r>
      <w:r w:rsidR="009A60B3">
        <w:t xml:space="preserve"> </w:t>
      </w:r>
      <w:r w:rsidR="00175D96">
        <w:t>project partners and possibl</w:t>
      </w:r>
      <w:r w:rsidR="00936E58">
        <w:t>y</w:t>
      </w:r>
      <w:r w:rsidR="00175D96">
        <w:t xml:space="preserve"> vendors. This phase scopes and scales the project for the intern. The third phase is data collection and analysis</w:t>
      </w:r>
      <w:r w:rsidR="00EC4CE3">
        <w:t xml:space="preserve">, whereas the last </w:t>
      </w:r>
      <w:r w:rsidR="00BA3DD0">
        <w:t xml:space="preserve">fourth </w:t>
      </w:r>
      <w:r w:rsidR="00EC4CE3">
        <w:t>phase is</w:t>
      </w:r>
      <w:r w:rsidR="00DD68A5">
        <w:t xml:space="preserve"> closing the project, </w:t>
      </w:r>
      <w:r w:rsidR="00847596">
        <w:t>summarizing,</w:t>
      </w:r>
      <w:r w:rsidR="00DD68A5">
        <w:t xml:space="preserve"> and </w:t>
      </w:r>
      <w:r w:rsidR="00EC4CE3">
        <w:t>writing</w:t>
      </w:r>
      <w:r w:rsidR="00DD68A5">
        <w:t xml:space="preserve"> the project report.</w:t>
      </w:r>
    </w:p>
    <w:p w14:paraId="4348F2CF" w14:textId="1C90523B" w:rsidR="008F3B6D" w:rsidRPr="00BC0135" w:rsidRDefault="00CB14F9" w:rsidP="008F3B6D">
      <w:pPr>
        <w:pStyle w:val="Abbildung"/>
      </w:pPr>
      <w:r w:rsidRPr="00BC0135">
        <w:rPr>
          <w:noProof/>
          <w:lang w:eastAsia="en-US"/>
        </w:rPr>
        <w:drawing>
          <wp:inline distT="0" distB="0" distL="0" distR="0" wp14:anchorId="5414E795" wp14:editId="510D2845">
            <wp:extent cx="2245806" cy="1520583"/>
            <wp:effectExtent l="0" t="0" r="2540" b="3810"/>
            <wp:docPr id="216441242" name="Picture 216441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919" cy="1536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7BD33" w14:textId="2590045D" w:rsidR="008F3B6D" w:rsidRPr="00BC0135" w:rsidRDefault="008F3B6D" w:rsidP="008F3B6D">
      <w:pPr>
        <w:pStyle w:val="figlegend"/>
      </w:pPr>
      <w:r w:rsidRPr="00BC0135">
        <w:rPr>
          <w:rStyle w:val="initial10"/>
        </w:rPr>
        <w:t>F</w:t>
      </w:r>
      <w:r w:rsidRPr="00BC0135">
        <w:t xml:space="preserve">ig. </w:t>
      </w:r>
      <w:r w:rsidRPr="00BC0135">
        <w:rPr>
          <w:noProof/>
        </w:rPr>
        <w:fldChar w:fldCharType="begin"/>
      </w:r>
      <w:r w:rsidRPr="00BC0135">
        <w:rPr>
          <w:noProof/>
        </w:rPr>
        <w:instrText xml:space="preserve">  SEQ Fig \* ARABIC \s 1 </w:instrText>
      </w:r>
      <w:r w:rsidRPr="00BC0135">
        <w:rPr>
          <w:noProof/>
        </w:rPr>
        <w:fldChar w:fldCharType="separate"/>
      </w:r>
      <w:r w:rsidR="00587993">
        <w:rPr>
          <w:noProof/>
        </w:rPr>
        <w:t>1</w:t>
      </w:r>
      <w:r w:rsidRPr="00BC0135">
        <w:rPr>
          <w:noProof/>
        </w:rPr>
        <w:fldChar w:fldCharType="end"/>
      </w:r>
      <w:r w:rsidRPr="00BC0135">
        <w:rPr>
          <w:noProof/>
        </w:rPr>
        <w:t xml:space="preserve"> </w:t>
      </w:r>
      <w:r w:rsidRPr="00BC0135">
        <w:t xml:space="preserve">2023 Clinical Engineering Interns tour of </w:t>
      </w:r>
      <w:r w:rsidR="00C729B2" w:rsidRPr="00BC0135">
        <w:t>Medical Device Reprocessing Department at The Ottawa Hospital</w:t>
      </w:r>
    </w:p>
    <w:p w14:paraId="17D45640" w14:textId="4FC7A0CB" w:rsidR="00F73333" w:rsidRDefault="00DD68A5" w:rsidP="003B7E8E">
      <w:r>
        <w:t xml:space="preserve">The intern completes </w:t>
      </w:r>
      <w:r w:rsidR="00545CCF">
        <w:t>two deliverables</w:t>
      </w:r>
      <w:r w:rsidR="00500025">
        <w:t xml:space="preserve"> for grading and critique</w:t>
      </w:r>
      <w:r w:rsidR="00231E45">
        <w:t>:</w:t>
      </w:r>
      <w:r w:rsidR="00847596">
        <w:t xml:space="preserve"> an </w:t>
      </w:r>
      <w:r w:rsidR="00545CCF">
        <w:t xml:space="preserve">Internship </w:t>
      </w:r>
      <w:r w:rsidR="00847596">
        <w:t>S</w:t>
      </w:r>
      <w:r w:rsidR="00545CCF">
        <w:t>ummary</w:t>
      </w:r>
      <w:r w:rsidR="00847596">
        <w:t xml:space="preserve"> and Project Report. The Internship Summary</w:t>
      </w:r>
      <w:r w:rsidR="00FA4EB6">
        <w:t xml:space="preserve"> details the comprehensive exposure</w:t>
      </w:r>
      <w:r w:rsidR="00F04604">
        <w:t xml:space="preserve"> (e.g. tutorials, clinical exposure, </w:t>
      </w:r>
      <w:r w:rsidR="00217675">
        <w:t xml:space="preserve">unique tasks, </w:t>
      </w:r>
      <w:r w:rsidR="000C113C">
        <w:t xml:space="preserve">major project). Students are encouraged to keep log of their hours to provide a percentage of time </w:t>
      </w:r>
      <w:r w:rsidR="00050290">
        <w:t>relative to one another. It is also expected that the student will document their learning in a journal style: what did you expect? what was it actually? what did you learn? Etc. The Project Report is the second deliverable</w:t>
      </w:r>
      <w:r w:rsidR="00C44F21">
        <w:t>, a formal engineering report</w:t>
      </w:r>
      <w:r w:rsidR="00500025">
        <w:t xml:space="preserve"> (</w:t>
      </w:r>
      <w:r w:rsidR="00B3486A">
        <w:t>mini thesis</w:t>
      </w:r>
      <w:r w:rsidR="00500025">
        <w:t>)</w:t>
      </w:r>
      <w:r w:rsidR="00050290">
        <w:t xml:space="preserve"> and students must commit considerable effort to this task (</w:t>
      </w:r>
      <w:r w:rsidR="004D471E">
        <w:t>40</w:t>
      </w:r>
      <w:r w:rsidR="002455E4">
        <w:t>-5</w:t>
      </w:r>
      <w:r w:rsidR="004D471E">
        <w:t>5</w:t>
      </w:r>
      <w:r w:rsidR="002455E4">
        <w:t>% of their time).</w:t>
      </w:r>
    </w:p>
    <w:p w14:paraId="70531719" w14:textId="69B5BBC2" w:rsidR="001B6A67" w:rsidRDefault="00A547FA" w:rsidP="003B7E8E">
      <w:r>
        <w:t xml:space="preserve">Although </w:t>
      </w:r>
      <w:r w:rsidR="001B6A67">
        <w:t xml:space="preserve">Interns </w:t>
      </w:r>
      <w:r>
        <w:t xml:space="preserve">have different experiences in their placements, they </w:t>
      </w:r>
      <w:r w:rsidR="001F0060">
        <w:t xml:space="preserve">share their experiences and learn amongst each other. These bonds lay </w:t>
      </w:r>
      <w:r w:rsidR="004B4F61">
        <w:t>groundwork for professional collegiality</w:t>
      </w:r>
      <w:r w:rsidR="00AF5755">
        <w:t xml:space="preserve"> post-graduation</w:t>
      </w:r>
      <w:r w:rsidR="00E879B0">
        <w:t xml:space="preserve"> (Fig.1)</w:t>
      </w:r>
      <w:r w:rsidR="00AF5755">
        <w:t>.</w:t>
      </w:r>
    </w:p>
    <w:p w14:paraId="65A31AFD" w14:textId="0211857B" w:rsidR="00BC7199" w:rsidRPr="00B3017B" w:rsidRDefault="00E20829" w:rsidP="00BC7199">
      <w:pPr>
        <w:pStyle w:val="Heading2"/>
        <w:ind w:left="0"/>
      </w:pPr>
      <w:r w:rsidRPr="00B3017B">
        <w:lastRenderedPageBreak/>
        <w:t xml:space="preserve">Internship </w:t>
      </w:r>
      <w:r w:rsidR="000D72E6">
        <w:t>Rubric</w:t>
      </w:r>
    </w:p>
    <w:p w14:paraId="2E94BFEE" w14:textId="1C88B96E" w:rsidR="00BC7199" w:rsidRPr="00BC7199" w:rsidRDefault="00BC7199" w:rsidP="00BC7199">
      <w:pPr>
        <w:rPr>
          <w:lang w:val="en-CA"/>
        </w:rPr>
      </w:pPr>
      <w:r w:rsidRPr="00BC7199">
        <w:t>The</w:t>
      </w:r>
      <w:r w:rsidR="002C6EDC">
        <w:t xml:space="preserve"> Internship</w:t>
      </w:r>
      <w:r w:rsidR="000D72E6">
        <w:t xml:space="preserve"> rubric</w:t>
      </w:r>
      <w:r w:rsidRPr="00BC7199">
        <w:t xml:space="preserve"> </w:t>
      </w:r>
      <w:r w:rsidR="009F671C">
        <w:t>has</w:t>
      </w:r>
      <w:r w:rsidRPr="00BC7199">
        <w:t xml:space="preserve"> various essential elements of a clinical engineering internship, including program objectives, duration, curriculum design, hands-on experience, mentorship, and assessment methods. These elements follow the ACCE Body of Knowledge</w:t>
      </w:r>
      <w:r w:rsidR="00F33C06">
        <w:t xml:space="preserve"> (BoK)</w:t>
      </w:r>
      <w:r w:rsidRPr="00BC7199">
        <w:t xml:space="preserve"> Certification Study Guide, literature, industry standards, and expert recommendations</w:t>
      </w:r>
      <w:r w:rsidR="00A51437">
        <w:t xml:space="preserve"> (Table 1)</w:t>
      </w:r>
      <w:r w:rsidRPr="00BC7199">
        <w:t>.</w:t>
      </w:r>
    </w:p>
    <w:p w14:paraId="1BEC2D92" w14:textId="01EA1D0D" w:rsidR="005B087E" w:rsidRDefault="00BC7199" w:rsidP="00130814">
      <w:r w:rsidRPr="00BC7199">
        <w:t>By incorporating these elements into the design and implementation of internship programs, educational institutions, healthcare facilities, and industry stakeholders can ensure that interns receive a well-rounded experience that prepares them for the demands of the profession.</w:t>
      </w:r>
    </w:p>
    <w:p w14:paraId="172320BE" w14:textId="3977541A" w:rsidR="00EB55BD" w:rsidRPr="00403441" w:rsidRDefault="00EB55BD" w:rsidP="00EB55BD">
      <w:pPr>
        <w:pStyle w:val="tablelegend"/>
      </w:pPr>
      <w:r w:rsidRPr="00403441">
        <w:rPr>
          <w:rStyle w:val="initial10"/>
        </w:rPr>
        <w:t>T</w:t>
      </w:r>
      <w:r w:rsidRPr="00403441">
        <w:t xml:space="preserve">able </w:t>
      </w:r>
      <w:r w:rsidRPr="00403441">
        <w:rPr>
          <w:rStyle w:val="initial10"/>
          <w:sz w:val="16"/>
        </w:rPr>
        <w:fldChar w:fldCharType="begin"/>
      </w:r>
      <w:r w:rsidRPr="00403441">
        <w:rPr>
          <w:rStyle w:val="initial10"/>
          <w:sz w:val="16"/>
        </w:rPr>
        <w:instrText xml:space="preserve">  SEQ Table \* ARABIC \s 1 </w:instrText>
      </w:r>
      <w:r w:rsidRPr="00403441">
        <w:rPr>
          <w:rStyle w:val="initial10"/>
          <w:sz w:val="16"/>
        </w:rPr>
        <w:fldChar w:fldCharType="separate"/>
      </w:r>
      <w:r w:rsidR="00587993">
        <w:rPr>
          <w:rStyle w:val="initial10"/>
          <w:noProof/>
          <w:sz w:val="16"/>
        </w:rPr>
        <w:t>1</w:t>
      </w:r>
      <w:r w:rsidRPr="00403441">
        <w:rPr>
          <w:rStyle w:val="initial10"/>
          <w:sz w:val="16"/>
        </w:rPr>
        <w:fldChar w:fldCharType="end"/>
      </w:r>
      <w:r w:rsidRPr="00403441">
        <w:t xml:space="preserve"> CE Internship </w:t>
      </w:r>
      <w:r w:rsidR="00EB38C7">
        <w:t>Rubric</w:t>
      </w:r>
    </w:p>
    <w:tbl>
      <w:tblPr>
        <w:tblW w:w="4847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000" w:firstRow="0" w:lastRow="0" w:firstColumn="0" w:lastColumn="0" w:noHBand="0" w:noVBand="0"/>
      </w:tblPr>
      <w:tblGrid>
        <w:gridCol w:w="1023"/>
        <w:gridCol w:w="1260"/>
        <w:gridCol w:w="2564"/>
      </w:tblGrid>
      <w:tr w:rsidR="00EB55BD" w:rsidRPr="003A1BBB" w14:paraId="3AB61396" w14:textId="77777777" w:rsidTr="00F940C6"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CFB36" w14:textId="64AB418D" w:rsidR="00EB55BD" w:rsidRPr="00403441" w:rsidRDefault="00403441" w:rsidP="00052C79">
            <w:pPr>
              <w:ind w:firstLine="0"/>
            </w:pPr>
            <w:r>
              <w:t>Goal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E2CE6" w14:textId="3C0B7B4B" w:rsidR="00EB55BD" w:rsidRPr="00403441" w:rsidRDefault="00403441" w:rsidP="00052C79">
            <w:pPr>
              <w:pStyle w:val="tablehead"/>
              <w:jc w:val="both"/>
            </w:pPr>
            <w:r w:rsidRPr="00403441">
              <w:t>Task</w:t>
            </w:r>
          </w:p>
        </w:tc>
        <w:tc>
          <w:tcPr>
            <w:tcW w:w="2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D24B5" w14:textId="6161423D" w:rsidR="00EB55BD" w:rsidRPr="00403441" w:rsidRDefault="00D423B7" w:rsidP="00052C79">
            <w:pPr>
              <w:pStyle w:val="tablehead"/>
              <w:jc w:val="both"/>
            </w:pPr>
            <w:r w:rsidRPr="00403441">
              <w:t>Examples</w:t>
            </w:r>
          </w:p>
        </w:tc>
      </w:tr>
      <w:tr w:rsidR="001B1263" w:rsidRPr="003A1BBB" w14:paraId="2302ED42" w14:textId="77777777" w:rsidTr="00F940C6">
        <w:trPr>
          <w:trHeight w:val="228"/>
        </w:trPr>
        <w:tc>
          <w:tcPr>
            <w:tcW w:w="102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42548E" w14:textId="77777777" w:rsidR="00D27605" w:rsidRDefault="001B1263" w:rsidP="00052C79">
            <w:pPr>
              <w:pStyle w:val="tabletext"/>
            </w:pPr>
            <w:r w:rsidRPr="001B1263">
              <w:t xml:space="preserve">Clinical </w:t>
            </w:r>
          </w:p>
          <w:p w14:paraId="761A479E" w14:textId="7CDA7834" w:rsidR="001B1263" w:rsidRPr="006A0691" w:rsidRDefault="001B1263" w:rsidP="00052C79">
            <w:pPr>
              <w:pStyle w:val="tabletext"/>
            </w:pPr>
            <w:r w:rsidRPr="001B1263">
              <w:t>Exposure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6857" w14:textId="020B4331" w:rsidR="001B1263" w:rsidRPr="003A1BBB" w:rsidRDefault="001B1263" w:rsidP="00052C79">
            <w:pPr>
              <w:pStyle w:val="tabletext"/>
              <w:rPr>
                <w:highlight w:val="yellow"/>
              </w:rPr>
            </w:pPr>
            <w:r>
              <w:t>Operating Room Procedures*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E9ACA" w14:textId="5C848483" w:rsidR="001B1263" w:rsidRPr="00EB55BD" w:rsidRDefault="001B1263" w:rsidP="00415450">
            <w:pPr>
              <w:pStyle w:val="tabletext"/>
            </w:pPr>
            <w:r w:rsidRPr="00EB55BD">
              <w:t>Neuro/Spinal</w:t>
            </w:r>
          </w:p>
          <w:p w14:paraId="432512A6" w14:textId="77777777" w:rsidR="001B1263" w:rsidRPr="00EB55BD" w:rsidRDefault="001B1263" w:rsidP="00415450">
            <w:pPr>
              <w:pStyle w:val="tabletext"/>
            </w:pPr>
            <w:r w:rsidRPr="00EB55BD">
              <w:t>Orthopedics</w:t>
            </w:r>
          </w:p>
          <w:p w14:paraId="00493DEE" w14:textId="139CE339" w:rsidR="001B1263" w:rsidRPr="00EB55BD" w:rsidRDefault="001B1263" w:rsidP="00415450">
            <w:pPr>
              <w:pStyle w:val="tabletext"/>
            </w:pPr>
            <w:r w:rsidRPr="00EB55BD">
              <w:t>Cardiac</w:t>
            </w:r>
            <w:r w:rsidR="00576BE6">
              <w:t xml:space="preserve"> (examples)</w:t>
            </w:r>
            <w:r w:rsidRPr="00EB55BD">
              <w:t>:</w:t>
            </w:r>
          </w:p>
          <w:p w14:paraId="14D97BDA" w14:textId="2B3F27D9" w:rsidR="001B1263" w:rsidRPr="00EB55BD" w:rsidRDefault="001B1263" w:rsidP="001E76AB">
            <w:pPr>
              <w:pStyle w:val="tabletext"/>
              <w:numPr>
                <w:ilvl w:val="0"/>
                <w:numId w:val="12"/>
              </w:numPr>
            </w:pPr>
            <w:r w:rsidRPr="00EB55BD">
              <w:t>Electrophysiology,</w:t>
            </w:r>
          </w:p>
          <w:p w14:paraId="00C1B9D6" w14:textId="7A62B730" w:rsidR="001B1263" w:rsidRPr="00EB55BD" w:rsidRDefault="001B1263" w:rsidP="001E76AB">
            <w:pPr>
              <w:pStyle w:val="tabletext"/>
              <w:numPr>
                <w:ilvl w:val="0"/>
                <w:numId w:val="12"/>
              </w:numPr>
            </w:pPr>
            <w:r w:rsidRPr="00EB55BD">
              <w:t>Cath Lab</w:t>
            </w:r>
            <w:r w:rsidR="00576BE6">
              <w:t>/Open Heart</w:t>
            </w:r>
            <w:r w:rsidR="00576BE6">
              <w:t xml:space="preserve"> </w:t>
            </w:r>
          </w:p>
        </w:tc>
      </w:tr>
      <w:tr w:rsidR="001B1263" w:rsidRPr="003A1BBB" w14:paraId="2FF4A1DD" w14:textId="77777777" w:rsidTr="00F940C6">
        <w:trPr>
          <w:trHeight w:val="228"/>
        </w:trPr>
        <w:tc>
          <w:tcPr>
            <w:tcW w:w="1023" w:type="dxa"/>
            <w:vMerge/>
            <w:tcBorders>
              <w:right w:val="single" w:sz="4" w:space="0" w:color="auto"/>
            </w:tcBorders>
            <w:vAlign w:val="center"/>
          </w:tcPr>
          <w:p w14:paraId="4254BE64" w14:textId="3B476835" w:rsidR="001B1263" w:rsidRPr="003A1BBB" w:rsidRDefault="001B1263" w:rsidP="00052C79">
            <w:pPr>
              <w:pStyle w:val="tabletext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D742" w14:textId="116D7265" w:rsidR="001B1263" w:rsidRPr="00EB55BD" w:rsidRDefault="002C5C41" w:rsidP="00052C79">
            <w:pPr>
              <w:pStyle w:val="tabletext"/>
            </w:pPr>
            <w:r>
              <w:t>Medical Device Reprocessing Department (MDRD)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6E7B9" w14:textId="3B06FFD0" w:rsidR="001B1263" w:rsidRPr="00EB55BD" w:rsidRDefault="001B1263" w:rsidP="00415450">
            <w:pPr>
              <w:pStyle w:val="tabletext"/>
            </w:pPr>
            <w:r w:rsidRPr="00EB55BD">
              <w:t>Tour of MDRD</w:t>
            </w:r>
          </w:p>
        </w:tc>
      </w:tr>
      <w:tr w:rsidR="001B1263" w:rsidRPr="003A1BBB" w14:paraId="70C47D13" w14:textId="77777777" w:rsidTr="00F940C6">
        <w:trPr>
          <w:trHeight w:val="228"/>
        </w:trPr>
        <w:tc>
          <w:tcPr>
            <w:tcW w:w="102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F2664A" w14:textId="6FCA4D1A" w:rsidR="001B1263" w:rsidRPr="003A1BBB" w:rsidRDefault="001B1263" w:rsidP="00052C79">
            <w:pPr>
              <w:pStyle w:val="tabletext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F7E8" w14:textId="75989834" w:rsidR="001B1263" w:rsidRPr="00EB55BD" w:rsidRDefault="008B5EDB" w:rsidP="002C5C41">
            <w:pPr>
              <w:pStyle w:val="tabletext"/>
            </w:pPr>
            <w:r w:rsidRPr="00576BE6">
              <w:t>Eastern Ontario Regional Laboratory Association (EORLA)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153CA6" w14:textId="5D475DCB" w:rsidR="001B1263" w:rsidRPr="00EB55BD" w:rsidRDefault="001B1263" w:rsidP="00415450">
            <w:pPr>
              <w:pStyle w:val="tabletext"/>
            </w:pPr>
            <w:r w:rsidRPr="00EB55BD">
              <w:t>Tour of EORLA Labs</w:t>
            </w:r>
          </w:p>
        </w:tc>
      </w:tr>
      <w:tr w:rsidR="00EB55BD" w:rsidRPr="003A1BBB" w14:paraId="5E1F5425" w14:textId="77777777" w:rsidTr="00F940C6">
        <w:trPr>
          <w:trHeight w:val="228"/>
        </w:trPr>
        <w:tc>
          <w:tcPr>
            <w:tcW w:w="1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B3CC" w14:textId="77777777" w:rsidR="00D27605" w:rsidRDefault="002B2FA2" w:rsidP="00052C79">
            <w:pPr>
              <w:pStyle w:val="tabletext"/>
            </w:pPr>
            <w:r w:rsidRPr="002B2FA2">
              <w:t xml:space="preserve">Technical </w:t>
            </w:r>
          </w:p>
          <w:p w14:paraId="3CFF3AC3" w14:textId="5FB2BA8E" w:rsidR="00EB55BD" w:rsidRPr="003A1BBB" w:rsidRDefault="002B2FA2" w:rsidP="00052C79">
            <w:pPr>
              <w:pStyle w:val="tabletext"/>
              <w:rPr>
                <w:highlight w:val="yellow"/>
              </w:rPr>
            </w:pPr>
            <w:r w:rsidRPr="002B2FA2">
              <w:t>Exposure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243B" w14:textId="7163F9E8" w:rsidR="00EB55BD" w:rsidRPr="00A04DD7" w:rsidRDefault="00EB55BD" w:rsidP="00052C79">
            <w:pPr>
              <w:pStyle w:val="tabletext"/>
            </w:pPr>
            <w:r w:rsidRPr="00A04DD7">
              <w:t>Tech Work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5A0957" w14:textId="77777777" w:rsidR="00EB55BD" w:rsidRPr="00415450" w:rsidRDefault="00EB55BD" w:rsidP="00415450">
            <w:pPr>
              <w:tabs>
                <w:tab w:val="clear" w:pos="340"/>
                <w:tab w:val="clear" w:pos="680"/>
              </w:tabs>
              <w:ind w:firstLine="0"/>
              <w:jc w:val="left"/>
              <w:rPr>
                <w:snapToGrid w:val="0"/>
                <w:sz w:val="16"/>
                <w:lang w:eastAsia="en-US"/>
              </w:rPr>
            </w:pPr>
            <w:r w:rsidRPr="00415450">
              <w:rPr>
                <w:snapToGrid w:val="0"/>
                <w:sz w:val="16"/>
                <w:lang w:eastAsia="en-US"/>
              </w:rPr>
              <w:t>Shadow Diagnostic Imaging</w:t>
            </w:r>
          </w:p>
          <w:p w14:paraId="5040B9A8" w14:textId="18250707" w:rsidR="00EB55BD" w:rsidRPr="00A04DD7" w:rsidRDefault="00EB55BD" w:rsidP="00415450">
            <w:pPr>
              <w:pStyle w:val="tabletext"/>
            </w:pPr>
            <w:r w:rsidRPr="00A04DD7">
              <w:t>Spend a day at each hospital shadowing techs (dialysis, labs, clinical, etc.)</w:t>
            </w:r>
          </w:p>
        </w:tc>
      </w:tr>
      <w:tr w:rsidR="00EB55BD" w:rsidRPr="003A1BBB" w14:paraId="3FDE5C2F" w14:textId="77777777" w:rsidTr="00F940C6">
        <w:trPr>
          <w:trHeight w:val="228"/>
        </w:trPr>
        <w:tc>
          <w:tcPr>
            <w:tcW w:w="1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01C7" w14:textId="788B8DB4" w:rsidR="00EB55BD" w:rsidRPr="00D423B7" w:rsidRDefault="00E23F5C" w:rsidP="00052C79">
            <w:pPr>
              <w:pStyle w:val="tabletext"/>
              <w:rPr>
                <w:highlight w:val="yellow"/>
              </w:rPr>
            </w:pPr>
            <w:r w:rsidRPr="00D423B7">
              <w:t>Patient Safety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D5A89" w14:textId="77777777" w:rsidR="008912D0" w:rsidRDefault="00EB55BD" w:rsidP="00052C79">
            <w:pPr>
              <w:pStyle w:val="tabletext"/>
            </w:pPr>
            <w:r w:rsidRPr="00A04DD7">
              <w:t xml:space="preserve">Incident </w:t>
            </w:r>
          </w:p>
          <w:p w14:paraId="630D3689" w14:textId="29E1790B" w:rsidR="00EB55BD" w:rsidRPr="00A04DD7" w:rsidRDefault="00EB55BD" w:rsidP="00052C79">
            <w:pPr>
              <w:pStyle w:val="tabletext"/>
            </w:pPr>
            <w:r w:rsidRPr="00A04DD7">
              <w:t>Investigation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220BB" w14:textId="045061DA" w:rsidR="00EB55BD" w:rsidRPr="00A04DD7" w:rsidRDefault="00EB55BD" w:rsidP="00415450">
            <w:pPr>
              <w:pStyle w:val="tabletext"/>
            </w:pPr>
            <w:r w:rsidRPr="00A04DD7">
              <w:t>Complete (1) incident Investigation</w:t>
            </w:r>
          </w:p>
        </w:tc>
      </w:tr>
      <w:tr w:rsidR="00D423B7" w:rsidRPr="003A1BBB" w14:paraId="0F94C09E" w14:textId="77777777" w:rsidTr="00F940C6">
        <w:trPr>
          <w:trHeight w:val="228"/>
        </w:trPr>
        <w:tc>
          <w:tcPr>
            <w:tcW w:w="1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F7E8" w14:textId="77777777" w:rsidR="00D27605" w:rsidRDefault="0011422B" w:rsidP="00052C79">
            <w:pPr>
              <w:pStyle w:val="tabletext"/>
            </w:pPr>
            <w:r w:rsidRPr="00D423B7">
              <w:t xml:space="preserve">Risk </w:t>
            </w:r>
          </w:p>
          <w:p w14:paraId="69714EC0" w14:textId="641D8D9F" w:rsidR="00D423B7" w:rsidRPr="00D423B7" w:rsidRDefault="0011422B" w:rsidP="00052C79">
            <w:pPr>
              <w:pStyle w:val="tabletext"/>
            </w:pPr>
            <w:r w:rsidRPr="00D423B7">
              <w:t>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0699" w14:textId="18EE1E2B" w:rsidR="00D423B7" w:rsidRPr="00A04DD7" w:rsidRDefault="0011422B" w:rsidP="00052C79">
            <w:pPr>
              <w:pStyle w:val="tabletext"/>
            </w:pPr>
            <w:r>
              <w:t>Safety Alerts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F4F62C" w14:textId="728A1C8E" w:rsidR="00D423B7" w:rsidRPr="00A04DD7" w:rsidRDefault="00BF1658" w:rsidP="00415450">
            <w:pPr>
              <w:pStyle w:val="tabletext"/>
            </w:pPr>
            <w:r>
              <w:t>Weekly Alerts, Hazards and Recalls</w:t>
            </w:r>
          </w:p>
        </w:tc>
      </w:tr>
      <w:tr w:rsidR="00EB55BD" w:rsidRPr="003A1BBB" w14:paraId="69B3AD12" w14:textId="77777777" w:rsidTr="00F940C6">
        <w:trPr>
          <w:trHeight w:val="228"/>
        </w:trPr>
        <w:tc>
          <w:tcPr>
            <w:tcW w:w="1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DA89" w14:textId="77777777" w:rsidR="00D27605" w:rsidRDefault="00BD3F6B" w:rsidP="00052C79">
            <w:pPr>
              <w:pStyle w:val="tabletext"/>
            </w:pPr>
            <w:r w:rsidRPr="00BD3F6B">
              <w:t xml:space="preserve">General </w:t>
            </w:r>
          </w:p>
          <w:p w14:paraId="50833E08" w14:textId="0B0975BF" w:rsidR="00EB55BD" w:rsidRPr="003A1BBB" w:rsidRDefault="00BD3F6B" w:rsidP="00052C79">
            <w:pPr>
              <w:pStyle w:val="tabletext"/>
              <w:rPr>
                <w:highlight w:val="yellow"/>
              </w:rPr>
            </w:pPr>
            <w:r w:rsidRPr="00BD3F6B">
              <w:t>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9345" w14:textId="42AE33C6" w:rsidR="00EB55BD" w:rsidRPr="00A04DD7" w:rsidRDefault="00EB55BD" w:rsidP="00052C79">
            <w:pPr>
              <w:pStyle w:val="tabletext"/>
            </w:pPr>
            <w:r w:rsidRPr="00A04DD7">
              <w:t>Policy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F19A27" w14:textId="2D1A66CC" w:rsidR="00EB55BD" w:rsidRPr="00A04DD7" w:rsidRDefault="00EB55BD" w:rsidP="00415450">
            <w:pPr>
              <w:pStyle w:val="tabletext"/>
            </w:pPr>
            <w:r w:rsidRPr="00A04DD7">
              <w:t xml:space="preserve">Draft at least one (1) department policy, </w:t>
            </w:r>
            <w:r w:rsidR="007A2D4F" w:rsidRPr="00A04DD7">
              <w:t>guideline,</w:t>
            </w:r>
            <w:r w:rsidRPr="00A04DD7">
              <w:t xml:space="preserve"> or standard operating procedure</w:t>
            </w:r>
          </w:p>
        </w:tc>
      </w:tr>
      <w:tr w:rsidR="00EB55BD" w:rsidRPr="003A1BBB" w14:paraId="063FCE0F" w14:textId="77777777" w:rsidTr="00F940C6">
        <w:trPr>
          <w:trHeight w:val="228"/>
        </w:trPr>
        <w:tc>
          <w:tcPr>
            <w:tcW w:w="1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82C0" w14:textId="66831E85" w:rsidR="00EB55BD" w:rsidRPr="003A1BBB" w:rsidRDefault="00B00E74" w:rsidP="00052C79">
            <w:pPr>
              <w:pStyle w:val="tabletext"/>
              <w:rPr>
                <w:highlight w:val="yellow"/>
              </w:rPr>
            </w:pPr>
            <w:r w:rsidRPr="00B00E74">
              <w:t>Service Delivery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D936" w14:textId="57164B54" w:rsidR="00EB55BD" w:rsidRPr="00A04DD7" w:rsidRDefault="00EB55BD" w:rsidP="00052C79">
            <w:pPr>
              <w:pStyle w:val="tabletext"/>
            </w:pPr>
            <w:r w:rsidRPr="00A04DD7">
              <w:t>CMBES Standards of Practice</w:t>
            </w:r>
            <w:r w:rsidR="002C5C41">
              <w:t xml:space="preserve"> (SoP)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8E82D" w14:textId="0F671FE0" w:rsidR="00EB55BD" w:rsidRPr="00A04DD7" w:rsidRDefault="00EB55BD" w:rsidP="00415450">
            <w:pPr>
              <w:pStyle w:val="tabletext"/>
            </w:pPr>
            <w:r w:rsidRPr="00A04DD7">
              <w:t>Select an area of the CMBES SoP and perform department audit.</w:t>
            </w:r>
          </w:p>
        </w:tc>
      </w:tr>
      <w:tr w:rsidR="00B00E74" w:rsidRPr="003A1BBB" w14:paraId="47A20E97" w14:textId="77777777" w:rsidTr="00F940C6">
        <w:trPr>
          <w:trHeight w:val="228"/>
        </w:trPr>
        <w:tc>
          <w:tcPr>
            <w:tcW w:w="102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D0C268" w14:textId="275E95A6" w:rsidR="00B00E74" w:rsidRPr="003A1BBB" w:rsidRDefault="00B00E74" w:rsidP="00052C79">
            <w:pPr>
              <w:pStyle w:val="tabletext"/>
              <w:rPr>
                <w:highlight w:val="yellow"/>
              </w:rPr>
            </w:pPr>
            <w:r w:rsidRPr="003519CE">
              <w:t>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E905" w14:textId="7F5FF32B" w:rsidR="00B00E74" w:rsidRPr="003A1BBB" w:rsidRDefault="00B00E74" w:rsidP="00052C79">
            <w:pPr>
              <w:pStyle w:val="tabletext"/>
              <w:rPr>
                <w:highlight w:val="yellow"/>
              </w:rPr>
            </w:pPr>
            <w:r>
              <w:t>Advocacy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C0539" w14:textId="0B79F2E6" w:rsidR="00B00E74" w:rsidRDefault="00B00E74" w:rsidP="00415450">
            <w:pPr>
              <w:pStyle w:val="tabletext"/>
            </w:pPr>
            <w:r>
              <w:t xml:space="preserve">Education of Others about the Profession (e.g. ACCE, </w:t>
            </w:r>
            <w:r w:rsidR="001622DE">
              <w:t>CMBES</w:t>
            </w:r>
            <w:r>
              <w:t>, CESO, etc.)</w:t>
            </w:r>
          </w:p>
          <w:p w14:paraId="61411A6C" w14:textId="77777777" w:rsidR="00B00E74" w:rsidRDefault="00B00E74" w:rsidP="00415450">
            <w:pPr>
              <w:pStyle w:val="tabletext"/>
            </w:pPr>
            <w:r>
              <w:t>Formal Definition of Clinical Engineer National/International</w:t>
            </w:r>
          </w:p>
          <w:p w14:paraId="45FE4B78" w14:textId="199F7C5A" w:rsidR="00B00E74" w:rsidRPr="00EB55BD" w:rsidRDefault="00B00E74" w:rsidP="00415450">
            <w:pPr>
              <w:pStyle w:val="tabletext"/>
            </w:pPr>
            <w:r>
              <w:t>Professional Engineer</w:t>
            </w:r>
          </w:p>
        </w:tc>
      </w:tr>
      <w:tr w:rsidR="00B00E74" w:rsidRPr="003A1BBB" w14:paraId="7A3E0789" w14:textId="77777777" w:rsidTr="00F940C6">
        <w:trPr>
          <w:trHeight w:val="228"/>
        </w:trPr>
        <w:tc>
          <w:tcPr>
            <w:tcW w:w="1023" w:type="dxa"/>
            <w:vMerge/>
            <w:tcBorders>
              <w:right w:val="single" w:sz="4" w:space="0" w:color="auto"/>
            </w:tcBorders>
            <w:vAlign w:val="center"/>
          </w:tcPr>
          <w:p w14:paraId="2F168216" w14:textId="34354817" w:rsidR="00B00E74" w:rsidRPr="003A1BBB" w:rsidRDefault="00B00E74" w:rsidP="00052C79">
            <w:pPr>
              <w:pStyle w:val="tabletext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478F" w14:textId="289D3C2F" w:rsidR="00B00E74" w:rsidRPr="003A1BBB" w:rsidRDefault="00B00E74" w:rsidP="00052C79">
            <w:pPr>
              <w:pStyle w:val="tabletext"/>
              <w:rPr>
                <w:highlight w:val="yellow"/>
              </w:rPr>
            </w:pPr>
            <w:r>
              <w:t>Journal/Conference Publication (if possible)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AE9F3" w14:textId="3E6B5E0A" w:rsidR="00B00E74" w:rsidRPr="00BF1658" w:rsidRDefault="00B00E74" w:rsidP="00415450">
            <w:pPr>
              <w:pStyle w:val="tabletext"/>
            </w:pPr>
            <w:r>
              <w:t>Investigate CMBES, IEEE, Journal of Clinical Engineering, Global Engineering Journal</w:t>
            </w:r>
          </w:p>
        </w:tc>
      </w:tr>
      <w:tr w:rsidR="00B00E74" w:rsidRPr="003A1BBB" w14:paraId="5B804227" w14:textId="77777777" w:rsidTr="00F940C6">
        <w:trPr>
          <w:trHeight w:val="228"/>
        </w:trPr>
        <w:tc>
          <w:tcPr>
            <w:tcW w:w="1023" w:type="dxa"/>
            <w:vMerge/>
            <w:tcBorders>
              <w:right w:val="single" w:sz="4" w:space="0" w:color="auto"/>
            </w:tcBorders>
            <w:vAlign w:val="center"/>
          </w:tcPr>
          <w:p w14:paraId="38B40111" w14:textId="4FCCF922" w:rsidR="00B00E74" w:rsidRPr="003A1BBB" w:rsidRDefault="00B00E74" w:rsidP="00052C79">
            <w:pPr>
              <w:pStyle w:val="tabletext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9AB09" w14:textId="663421EF" w:rsidR="00B00E74" w:rsidRPr="00A04DD7" w:rsidRDefault="00B00E74" w:rsidP="00052C79">
            <w:pPr>
              <w:pStyle w:val="tabletext"/>
            </w:pPr>
            <w:r w:rsidRPr="00A04DD7">
              <w:t xml:space="preserve">Presentation </w:t>
            </w:r>
            <w:r>
              <w:t>to Panel of Peers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6692B4" w14:textId="4954458E" w:rsidR="00B00E74" w:rsidRDefault="00EF6C9E" w:rsidP="00415450">
            <w:pPr>
              <w:pStyle w:val="tabletext"/>
            </w:pPr>
            <w:r>
              <w:t>Present</w:t>
            </w:r>
            <w:r w:rsidR="00B00E74">
              <w:t xml:space="preserve"> Internship </w:t>
            </w:r>
            <w:r w:rsidR="00576BE6">
              <w:t xml:space="preserve">Summary </w:t>
            </w:r>
            <w:r w:rsidR="00B00E74">
              <w:t xml:space="preserve">at the Annual </w:t>
            </w:r>
            <w:r w:rsidR="00576BE6">
              <w:t>CE</w:t>
            </w:r>
            <w:r w:rsidR="00B00E74">
              <w:t xml:space="preserve"> Conference</w:t>
            </w:r>
          </w:p>
          <w:p w14:paraId="5E436B82" w14:textId="55A759E3" w:rsidR="00B00E74" w:rsidRPr="00A04DD7" w:rsidRDefault="00B00E74" w:rsidP="00415450">
            <w:pPr>
              <w:pStyle w:val="tabletext"/>
            </w:pPr>
            <w:r>
              <w:t>Participation in Monthly CESO Meetings</w:t>
            </w:r>
          </w:p>
        </w:tc>
      </w:tr>
    </w:tbl>
    <w:p w14:paraId="3BE015C7" w14:textId="2B0D043B" w:rsidR="00204CF4" w:rsidRPr="00B3017B" w:rsidRDefault="00204CF4" w:rsidP="00204CF4">
      <w:pPr>
        <w:pStyle w:val="tablelegend"/>
      </w:pPr>
      <w:r w:rsidRPr="00B3017B">
        <w:rPr>
          <w:rStyle w:val="initial10"/>
        </w:rPr>
        <w:t>T</w:t>
      </w:r>
      <w:r w:rsidRPr="00B3017B">
        <w:t xml:space="preserve">able </w:t>
      </w:r>
      <w:r w:rsidRPr="00B3017B">
        <w:rPr>
          <w:rStyle w:val="initial10"/>
          <w:sz w:val="16"/>
        </w:rPr>
        <w:t>2</w:t>
      </w:r>
      <w:r w:rsidRPr="00B3017B">
        <w:t xml:space="preserve"> </w:t>
      </w:r>
      <w:r w:rsidR="007F0C42" w:rsidRPr="00B3017B">
        <w:t xml:space="preserve">2023 Internship </w:t>
      </w:r>
      <w:r w:rsidRPr="00B3017B">
        <w:t>Tutorial Series</w:t>
      </w:r>
    </w:p>
    <w:tbl>
      <w:tblPr>
        <w:tblW w:w="5163" w:type="dxa"/>
        <w:tblInd w:w="5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000" w:firstRow="0" w:lastRow="0" w:firstColumn="0" w:lastColumn="0" w:noHBand="0" w:noVBand="0"/>
      </w:tblPr>
      <w:tblGrid>
        <w:gridCol w:w="1743"/>
        <w:gridCol w:w="3420"/>
      </w:tblGrid>
      <w:tr w:rsidR="001A346B" w:rsidRPr="003A1BBB" w14:paraId="12702995" w14:textId="77777777" w:rsidTr="00136B18">
        <w:tc>
          <w:tcPr>
            <w:tcW w:w="1743" w:type="dxa"/>
            <w:shd w:val="clear" w:color="auto" w:fill="auto"/>
            <w:vAlign w:val="center"/>
          </w:tcPr>
          <w:p w14:paraId="1EB03FF2" w14:textId="45F47057" w:rsidR="001A346B" w:rsidRPr="00D466E7" w:rsidRDefault="001A346B" w:rsidP="00170277">
            <w:pPr>
              <w:ind w:firstLine="0"/>
            </w:pPr>
            <w:r w:rsidRPr="00D466E7">
              <w:t>Body of Knowledge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D2869CF" w14:textId="3B6A2F8E" w:rsidR="001A346B" w:rsidRPr="00D466E7" w:rsidRDefault="001A346B" w:rsidP="00170277">
            <w:pPr>
              <w:pStyle w:val="tablehead"/>
              <w:jc w:val="both"/>
            </w:pPr>
            <w:r w:rsidRPr="00D466E7">
              <w:t>Topic</w:t>
            </w:r>
          </w:p>
        </w:tc>
      </w:tr>
      <w:tr w:rsidR="00D466E7" w:rsidRPr="003A1BBB" w14:paraId="2E72DC79" w14:textId="77777777" w:rsidTr="00136B18">
        <w:trPr>
          <w:trHeight w:val="228"/>
        </w:trPr>
        <w:tc>
          <w:tcPr>
            <w:tcW w:w="1743" w:type="dxa"/>
            <w:vMerge w:val="restart"/>
            <w:vAlign w:val="center"/>
          </w:tcPr>
          <w:p w14:paraId="73F7E482" w14:textId="351A9A6C" w:rsidR="00D466E7" w:rsidRPr="00D466E7" w:rsidRDefault="00D466E7" w:rsidP="00170277">
            <w:pPr>
              <w:pStyle w:val="tabletext"/>
            </w:pPr>
            <w:r w:rsidRPr="00D466E7">
              <w:t>Technology Management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61C1587" w14:textId="11DBA67A" w:rsidR="00D466E7" w:rsidRPr="00D466E7" w:rsidRDefault="00D466E7" w:rsidP="00170277">
            <w:pPr>
              <w:pStyle w:val="tabletext"/>
            </w:pPr>
            <w:r w:rsidRPr="00D466E7">
              <w:t>Unique Device Identifiers (UDI)</w:t>
            </w:r>
          </w:p>
        </w:tc>
      </w:tr>
      <w:tr w:rsidR="00D466E7" w:rsidRPr="003A1BBB" w14:paraId="6C929DB7" w14:textId="77777777" w:rsidTr="00136B18">
        <w:trPr>
          <w:trHeight w:val="228"/>
        </w:trPr>
        <w:tc>
          <w:tcPr>
            <w:tcW w:w="1743" w:type="dxa"/>
            <w:vMerge/>
            <w:vAlign w:val="center"/>
          </w:tcPr>
          <w:p w14:paraId="0780CE53" w14:textId="246FDAF1" w:rsidR="00D466E7" w:rsidRPr="00D466E7" w:rsidRDefault="00D466E7" w:rsidP="003A0F7D">
            <w:pPr>
              <w:pStyle w:val="tabletext"/>
            </w:pPr>
          </w:p>
        </w:tc>
        <w:tc>
          <w:tcPr>
            <w:tcW w:w="3420" w:type="dxa"/>
            <w:shd w:val="clear" w:color="auto" w:fill="auto"/>
          </w:tcPr>
          <w:p w14:paraId="5CDB8538" w14:textId="5D1A742D" w:rsidR="00D466E7" w:rsidRPr="00D466E7" w:rsidRDefault="00D466E7" w:rsidP="003A0F7D">
            <w:pPr>
              <w:pStyle w:val="tabletext"/>
            </w:pPr>
            <w:r w:rsidRPr="00D466E7">
              <w:t>Computerized Maintenance Management System (CMMS)</w:t>
            </w:r>
          </w:p>
        </w:tc>
      </w:tr>
      <w:tr w:rsidR="00D466E7" w:rsidRPr="003A1BBB" w14:paraId="26DA52A8" w14:textId="77777777" w:rsidTr="00136B18">
        <w:trPr>
          <w:trHeight w:val="228"/>
        </w:trPr>
        <w:tc>
          <w:tcPr>
            <w:tcW w:w="1743" w:type="dxa"/>
            <w:vMerge/>
            <w:vAlign w:val="center"/>
          </w:tcPr>
          <w:p w14:paraId="4FB976A8" w14:textId="34FF031F" w:rsidR="00D466E7" w:rsidRPr="00D466E7" w:rsidRDefault="00D466E7" w:rsidP="002571F8">
            <w:pPr>
              <w:pStyle w:val="tabletext"/>
            </w:pPr>
          </w:p>
        </w:tc>
        <w:tc>
          <w:tcPr>
            <w:tcW w:w="3420" w:type="dxa"/>
            <w:shd w:val="clear" w:color="auto" w:fill="auto"/>
          </w:tcPr>
          <w:p w14:paraId="2C7886DB" w14:textId="6215604C" w:rsidR="00D466E7" w:rsidRPr="00D466E7" w:rsidRDefault="00D466E7" w:rsidP="002571F8">
            <w:pPr>
              <w:pStyle w:val="tabletext"/>
            </w:pPr>
            <w:r w:rsidRPr="00D466E7">
              <w:t>Redevelopment Projects</w:t>
            </w:r>
          </w:p>
        </w:tc>
      </w:tr>
      <w:tr w:rsidR="00D466E7" w:rsidRPr="003A1BBB" w14:paraId="4DC39DE9" w14:textId="77777777" w:rsidTr="00136B18">
        <w:trPr>
          <w:trHeight w:val="228"/>
        </w:trPr>
        <w:tc>
          <w:tcPr>
            <w:tcW w:w="1743" w:type="dxa"/>
            <w:vMerge/>
            <w:vAlign w:val="center"/>
          </w:tcPr>
          <w:p w14:paraId="20A1BB5E" w14:textId="1C57BB15" w:rsidR="00D466E7" w:rsidRPr="00D466E7" w:rsidRDefault="00D466E7" w:rsidP="002571F8">
            <w:pPr>
              <w:pStyle w:val="tabletext"/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7C867857" w14:textId="7FD8ECD0" w:rsidR="00D466E7" w:rsidRPr="00D466E7" w:rsidRDefault="00D466E7" w:rsidP="00D466E7">
            <w:pPr>
              <w:pStyle w:val="tabletext"/>
            </w:pPr>
            <w:r w:rsidRPr="00D466E7">
              <w:t>Preventive Maintenance, Corrective Repairs, Incoming Inspections, Asset Disposal and Decommissioning</w:t>
            </w:r>
          </w:p>
        </w:tc>
      </w:tr>
      <w:tr w:rsidR="002C5AA4" w:rsidRPr="003A1BBB" w14:paraId="072642B6" w14:textId="77777777" w:rsidTr="00136B18">
        <w:trPr>
          <w:trHeight w:val="228"/>
        </w:trPr>
        <w:tc>
          <w:tcPr>
            <w:tcW w:w="1743" w:type="dxa"/>
            <w:vMerge w:val="restart"/>
            <w:vAlign w:val="center"/>
          </w:tcPr>
          <w:p w14:paraId="648DDAAB" w14:textId="4F85BC32" w:rsidR="002C5AA4" w:rsidRPr="002C5AA4" w:rsidRDefault="002C5AA4" w:rsidP="002571F8">
            <w:pPr>
              <w:pStyle w:val="tabletext"/>
            </w:pPr>
            <w:r w:rsidRPr="002C5AA4">
              <w:t>Service Delivery Management</w:t>
            </w:r>
          </w:p>
        </w:tc>
        <w:tc>
          <w:tcPr>
            <w:tcW w:w="3420" w:type="dxa"/>
            <w:vAlign w:val="center"/>
          </w:tcPr>
          <w:p w14:paraId="05CC3BFE" w14:textId="5F0E4E30" w:rsidR="002C5AA4" w:rsidRPr="002C5AA4" w:rsidRDefault="002C5AA4" w:rsidP="002571F8">
            <w:pPr>
              <w:pStyle w:val="tabletext"/>
            </w:pPr>
            <w:r>
              <w:t>How does Hospital Money Flow?</w:t>
            </w:r>
          </w:p>
        </w:tc>
      </w:tr>
      <w:tr w:rsidR="002C5AA4" w:rsidRPr="003A1BBB" w14:paraId="10C22F0C" w14:textId="77777777" w:rsidTr="00136B18">
        <w:trPr>
          <w:trHeight w:val="228"/>
        </w:trPr>
        <w:tc>
          <w:tcPr>
            <w:tcW w:w="1743" w:type="dxa"/>
            <w:vMerge/>
            <w:vAlign w:val="center"/>
          </w:tcPr>
          <w:p w14:paraId="61DA05E0" w14:textId="16CCF2A7" w:rsidR="002C5AA4" w:rsidRPr="003A1BBB" w:rsidRDefault="002C5AA4" w:rsidP="002571F8">
            <w:pPr>
              <w:pStyle w:val="tabletext"/>
              <w:rPr>
                <w:highlight w:val="yellow"/>
              </w:rPr>
            </w:pPr>
          </w:p>
        </w:tc>
        <w:tc>
          <w:tcPr>
            <w:tcW w:w="3420" w:type="dxa"/>
            <w:vAlign w:val="center"/>
          </w:tcPr>
          <w:p w14:paraId="6450F48A" w14:textId="0476618B" w:rsidR="002C5AA4" w:rsidRPr="002C5AA4" w:rsidRDefault="002C5AA4" w:rsidP="002571F8">
            <w:pPr>
              <w:pStyle w:val="tabletext"/>
            </w:pPr>
            <w:r w:rsidRPr="00873A8F">
              <w:t>Capital Request Submission and Prioritization process &amp; 5 Year Plan</w:t>
            </w:r>
          </w:p>
        </w:tc>
      </w:tr>
      <w:tr w:rsidR="002C5AA4" w:rsidRPr="003A1BBB" w14:paraId="51EDE21C" w14:textId="77777777" w:rsidTr="00136B18">
        <w:trPr>
          <w:trHeight w:val="228"/>
        </w:trPr>
        <w:tc>
          <w:tcPr>
            <w:tcW w:w="1743" w:type="dxa"/>
            <w:vMerge/>
            <w:vAlign w:val="center"/>
          </w:tcPr>
          <w:p w14:paraId="04939BD5" w14:textId="4E47BD05" w:rsidR="002C5AA4" w:rsidRPr="003A1BBB" w:rsidRDefault="002C5AA4" w:rsidP="002571F8">
            <w:pPr>
              <w:pStyle w:val="tabletext"/>
              <w:rPr>
                <w:highlight w:val="yellow"/>
              </w:rPr>
            </w:pPr>
          </w:p>
        </w:tc>
        <w:tc>
          <w:tcPr>
            <w:tcW w:w="3420" w:type="dxa"/>
            <w:vAlign w:val="center"/>
          </w:tcPr>
          <w:p w14:paraId="4DC677C7" w14:textId="2DB7A256" w:rsidR="002C5AA4" w:rsidRPr="002C5AA4" w:rsidRDefault="002C5AA4" w:rsidP="002C5AA4">
            <w:pPr>
              <w:pStyle w:val="tabletext"/>
            </w:pPr>
            <w:r>
              <w:t>Ins and Outs of Request for Proposals (RFP) + Technology Assessment</w:t>
            </w:r>
          </w:p>
        </w:tc>
      </w:tr>
      <w:tr w:rsidR="002C5AA4" w:rsidRPr="003A1BBB" w14:paraId="24B451BC" w14:textId="77777777" w:rsidTr="00136B18">
        <w:trPr>
          <w:trHeight w:val="228"/>
        </w:trPr>
        <w:tc>
          <w:tcPr>
            <w:tcW w:w="1743" w:type="dxa"/>
            <w:vMerge/>
            <w:vAlign w:val="center"/>
          </w:tcPr>
          <w:p w14:paraId="2E083DB1" w14:textId="312B47D4" w:rsidR="002C5AA4" w:rsidRPr="003A1BBB" w:rsidRDefault="002C5AA4" w:rsidP="00AF6E36">
            <w:pPr>
              <w:pStyle w:val="tabletext"/>
              <w:rPr>
                <w:highlight w:val="yellow"/>
              </w:rPr>
            </w:pPr>
          </w:p>
        </w:tc>
        <w:tc>
          <w:tcPr>
            <w:tcW w:w="3420" w:type="dxa"/>
          </w:tcPr>
          <w:p w14:paraId="087251AF" w14:textId="23D0A0D0" w:rsidR="002C5AA4" w:rsidRPr="002C5AA4" w:rsidRDefault="002C5AA4" w:rsidP="00AF6E36">
            <w:pPr>
              <w:pStyle w:val="tabletext"/>
            </w:pPr>
            <w:r w:rsidRPr="005544E2">
              <w:t>Setting the Budget, capital funding requests</w:t>
            </w:r>
          </w:p>
        </w:tc>
      </w:tr>
      <w:tr w:rsidR="002C5AA4" w:rsidRPr="003A1BBB" w14:paraId="482FAC6D" w14:textId="77777777" w:rsidTr="00136B18">
        <w:trPr>
          <w:trHeight w:val="228"/>
        </w:trPr>
        <w:tc>
          <w:tcPr>
            <w:tcW w:w="1743" w:type="dxa"/>
            <w:vMerge/>
            <w:vAlign w:val="center"/>
          </w:tcPr>
          <w:p w14:paraId="34B064C0" w14:textId="646F4FC7" w:rsidR="002C5AA4" w:rsidRPr="003A1BBB" w:rsidRDefault="002C5AA4" w:rsidP="002C5AA4">
            <w:pPr>
              <w:pStyle w:val="tabletext"/>
              <w:rPr>
                <w:highlight w:val="yellow"/>
              </w:rPr>
            </w:pPr>
          </w:p>
        </w:tc>
        <w:tc>
          <w:tcPr>
            <w:tcW w:w="3420" w:type="dxa"/>
          </w:tcPr>
          <w:p w14:paraId="5AAD5F58" w14:textId="0CE87D42" w:rsidR="002C5AA4" w:rsidRPr="002C5AA4" w:rsidRDefault="002C5AA4" w:rsidP="002C5AA4">
            <w:pPr>
              <w:pStyle w:val="tabletext"/>
            </w:pPr>
            <w:r w:rsidRPr="005544E2">
              <w:t>Project Manager</w:t>
            </w:r>
            <w:r w:rsidR="002C5C41">
              <w:t xml:space="preserve"> (</w:t>
            </w:r>
            <w:r w:rsidR="008B5EDB">
              <w:t xml:space="preserve">PM) </w:t>
            </w:r>
            <w:r w:rsidR="008B5EDB" w:rsidRPr="005544E2">
              <w:t>Toolbox</w:t>
            </w:r>
            <w:r w:rsidRPr="005544E2">
              <w:t>: How does PM run RFP</w:t>
            </w:r>
          </w:p>
        </w:tc>
      </w:tr>
      <w:tr w:rsidR="00EE71D9" w:rsidRPr="003A1BBB" w14:paraId="0D7A6E86" w14:textId="77777777" w:rsidTr="00136B18">
        <w:trPr>
          <w:trHeight w:val="228"/>
        </w:trPr>
        <w:tc>
          <w:tcPr>
            <w:tcW w:w="1743" w:type="dxa"/>
            <w:vAlign w:val="center"/>
          </w:tcPr>
          <w:p w14:paraId="15359430" w14:textId="76D61C52" w:rsidR="00EE71D9" w:rsidRPr="003A1BBB" w:rsidRDefault="00EE71D9" w:rsidP="00EE71D9">
            <w:pPr>
              <w:pStyle w:val="tabletext"/>
              <w:rPr>
                <w:highlight w:val="yellow"/>
              </w:rPr>
            </w:pPr>
            <w:r w:rsidRPr="00EE71D9">
              <w:t>Product Development, Testing, Evaluation, &amp; Modification</w:t>
            </w:r>
          </w:p>
        </w:tc>
        <w:tc>
          <w:tcPr>
            <w:tcW w:w="3420" w:type="dxa"/>
          </w:tcPr>
          <w:p w14:paraId="0A4B8001" w14:textId="41549B98" w:rsidR="00EE71D9" w:rsidRPr="00086BC3" w:rsidRDefault="00EE71D9" w:rsidP="00EE71D9">
            <w:pPr>
              <w:pStyle w:val="tabletext"/>
            </w:pPr>
            <w:r>
              <w:t>Review of Health Canada Med Dev Regulations, Licenses, Pre/Post Market Surveillance, Special Access Program</w:t>
            </w:r>
          </w:p>
        </w:tc>
      </w:tr>
      <w:tr w:rsidR="00086BC3" w:rsidRPr="003A1BBB" w14:paraId="4F255A11" w14:textId="77777777" w:rsidTr="00136B18">
        <w:trPr>
          <w:trHeight w:val="228"/>
        </w:trPr>
        <w:tc>
          <w:tcPr>
            <w:tcW w:w="1743" w:type="dxa"/>
            <w:vMerge w:val="restart"/>
            <w:vAlign w:val="center"/>
          </w:tcPr>
          <w:p w14:paraId="2CEEBB16" w14:textId="7FC2EB37" w:rsidR="00086BC3" w:rsidRPr="00086BC3" w:rsidRDefault="00086BC3" w:rsidP="00EE71D9">
            <w:pPr>
              <w:pStyle w:val="tabletext"/>
            </w:pPr>
            <w:r w:rsidRPr="00086BC3">
              <w:t>IT/Telecom</w:t>
            </w:r>
          </w:p>
        </w:tc>
        <w:tc>
          <w:tcPr>
            <w:tcW w:w="3420" w:type="dxa"/>
            <w:vAlign w:val="center"/>
          </w:tcPr>
          <w:p w14:paraId="5E3C6CC3" w14:textId="0F564A13" w:rsidR="00086BC3" w:rsidRPr="00086BC3" w:rsidRDefault="00086BC3" w:rsidP="00EE71D9">
            <w:pPr>
              <w:pStyle w:val="tabletext"/>
            </w:pPr>
            <w:r w:rsidRPr="00086BC3">
              <w:t>Networking + Medical Devices</w:t>
            </w:r>
          </w:p>
        </w:tc>
      </w:tr>
      <w:tr w:rsidR="00086BC3" w:rsidRPr="003A1BBB" w14:paraId="2CB16CD7" w14:textId="77777777" w:rsidTr="00136B18">
        <w:trPr>
          <w:trHeight w:val="228"/>
        </w:trPr>
        <w:tc>
          <w:tcPr>
            <w:tcW w:w="1743" w:type="dxa"/>
            <w:vMerge/>
            <w:vAlign w:val="center"/>
          </w:tcPr>
          <w:p w14:paraId="66FD2739" w14:textId="7662A13A" w:rsidR="00086BC3" w:rsidRPr="00086BC3" w:rsidRDefault="00086BC3" w:rsidP="00EE71D9">
            <w:pPr>
              <w:pStyle w:val="tabletext"/>
            </w:pPr>
          </w:p>
        </w:tc>
        <w:tc>
          <w:tcPr>
            <w:tcW w:w="3420" w:type="dxa"/>
            <w:vAlign w:val="center"/>
          </w:tcPr>
          <w:p w14:paraId="7E1953D1" w14:textId="46057E07" w:rsidR="00086BC3" w:rsidRPr="00086BC3" w:rsidRDefault="00265FDC" w:rsidP="00EE71D9">
            <w:pPr>
              <w:pStyle w:val="tabletext"/>
            </w:pPr>
            <w:r w:rsidRPr="00086BC3">
              <w:t>Cybersecurity</w:t>
            </w:r>
          </w:p>
        </w:tc>
      </w:tr>
      <w:tr w:rsidR="00086BC3" w:rsidRPr="003A1BBB" w14:paraId="15D6D154" w14:textId="77777777" w:rsidTr="00136B18">
        <w:trPr>
          <w:trHeight w:val="228"/>
        </w:trPr>
        <w:tc>
          <w:tcPr>
            <w:tcW w:w="1743" w:type="dxa"/>
            <w:vMerge/>
            <w:vAlign w:val="center"/>
          </w:tcPr>
          <w:p w14:paraId="2DA94DF2" w14:textId="5EAD107E" w:rsidR="00086BC3" w:rsidRPr="00086BC3" w:rsidRDefault="00086BC3" w:rsidP="00EE71D9">
            <w:pPr>
              <w:pStyle w:val="tabletext"/>
            </w:pPr>
          </w:p>
        </w:tc>
        <w:tc>
          <w:tcPr>
            <w:tcW w:w="3420" w:type="dxa"/>
            <w:vAlign w:val="center"/>
          </w:tcPr>
          <w:p w14:paraId="0FDC69E3" w14:textId="129DEFC3" w:rsidR="00086BC3" w:rsidRPr="00086BC3" w:rsidRDefault="00086BC3" w:rsidP="00EE71D9">
            <w:pPr>
              <w:pStyle w:val="tabletext"/>
            </w:pPr>
            <w:r w:rsidRPr="00086BC3">
              <w:t>Medical Device Integration</w:t>
            </w:r>
          </w:p>
        </w:tc>
      </w:tr>
      <w:tr w:rsidR="00086BC3" w:rsidRPr="003A1BBB" w14:paraId="12E70000" w14:textId="77777777" w:rsidTr="00136B18">
        <w:trPr>
          <w:trHeight w:val="228"/>
        </w:trPr>
        <w:tc>
          <w:tcPr>
            <w:tcW w:w="1743" w:type="dxa"/>
            <w:vMerge w:val="restart"/>
            <w:vAlign w:val="center"/>
          </w:tcPr>
          <w:p w14:paraId="6D294F44" w14:textId="305E9F2C" w:rsidR="00086BC3" w:rsidRPr="00086BC3" w:rsidRDefault="00086BC3" w:rsidP="00EE71D9">
            <w:pPr>
              <w:pStyle w:val="tabletext"/>
            </w:pPr>
            <w:r w:rsidRPr="00086BC3">
              <w:t>Education of Others</w:t>
            </w:r>
          </w:p>
        </w:tc>
        <w:tc>
          <w:tcPr>
            <w:tcW w:w="3420" w:type="dxa"/>
            <w:vAlign w:val="center"/>
          </w:tcPr>
          <w:p w14:paraId="076A4508" w14:textId="420EFABF" w:rsidR="00086BC3" w:rsidRPr="00086BC3" w:rsidRDefault="00086BC3" w:rsidP="00EE71D9">
            <w:pPr>
              <w:pStyle w:val="tabletext"/>
            </w:pPr>
            <w:r w:rsidRPr="00086BC3">
              <w:t>Certification in Clinical Engineering, and other certifications</w:t>
            </w:r>
          </w:p>
        </w:tc>
      </w:tr>
      <w:tr w:rsidR="00086BC3" w:rsidRPr="003A1BBB" w14:paraId="43ED7324" w14:textId="77777777" w:rsidTr="00136B18">
        <w:trPr>
          <w:trHeight w:val="228"/>
        </w:trPr>
        <w:tc>
          <w:tcPr>
            <w:tcW w:w="1743" w:type="dxa"/>
            <w:vMerge/>
            <w:vAlign w:val="center"/>
          </w:tcPr>
          <w:p w14:paraId="42F7CD67" w14:textId="2AB21504" w:rsidR="00086BC3" w:rsidRPr="0074460E" w:rsidRDefault="00086BC3" w:rsidP="00EE71D9">
            <w:pPr>
              <w:pStyle w:val="tabletext"/>
            </w:pPr>
          </w:p>
        </w:tc>
        <w:tc>
          <w:tcPr>
            <w:tcW w:w="3420" w:type="dxa"/>
            <w:vAlign w:val="center"/>
          </w:tcPr>
          <w:p w14:paraId="1F02A7D6" w14:textId="78D150FC" w:rsidR="00086BC3" w:rsidRPr="00086BC3" w:rsidRDefault="00086BC3" w:rsidP="00EE71D9">
            <w:pPr>
              <w:pStyle w:val="tabletext"/>
            </w:pPr>
            <w:r w:rsidRPr="00086BC3">
              <w:t>Roles and responsibilities of a clinical engineer</w:t>
            </w:r>
          </w:p>
        </w:tc>
      </w:tr>
      <w:tr w:rsidR="00EE71D9" w:rsidRPr="003A1BBB" w14:paraId="02D443D0" w14:textId="77777777" w:rsidTr="00136B18">
        <w:trPr>
          <w:trHeight w:val="228"/>
        </w:trPr>
        <w:tc>
          <w:tcPr>
            <w:tcW w:w="1743" w:type="dxa"/>
            <w:vAlign w:val="center"/>
          </w:tcPr>
          <w:p w14:paraId="076700FA" w14:textId="5B686941" w:rsidR="00EE71D9" w:rsidRPr="0074460E" w:rsidRDefault="00EE71D9" w:rsidP="00EE71D9">
            <w:pPr>
              <w:pStyle w:val="tabletext"/>
            </w:pPr>
            <w:r w:rsidRPr="0074460E">
              <w:t>Facilities Management</w:t>
            </w:r>
          </w:p>
        </w:tc>
        <w:tc>
          <w:tcPr>
            <w:tcW w:w="3420" w:type="dxa"/>
            <w:vAlign w:val="center"/>
          </w:tcPr>
          <w:p w14:paraId="4844649A" w14:textId="038E3806" w:rsidR="00EE71D9" w:rsidRPr="0074460E" w:rsidRDefault="008379A7" w:rsidP="00265FDC">
            <w:pPr>
              <w:ind w:firstLine="0"/>
              <w:rPr>
                <w:snapToGrid w:val="0"/>
                <w:sz w:val="16"/>
                <w:lang w:eastAsia="en-US"/>
              </w:rPr>
            </w:pPr>
            <w:r w:rsidRPr="0074460E">
              <w:rPr>
                <w:snapToGrid w:val="0"/>
                <w:sz w:val="16"/>
                <w:lang w:eastAsia="en-US"/>
              </w:rPr>
              <w:t>Gases, Vacuum, H</w:t>
            </w:r>
            <w:r w:rsidR="008B5EDB">
              <w:rPr>
                <w:snapToGrid w:val="0"/>
                <w:sz w:val="16"/>
                <w:lang w:eastAsia="en-US"/>
              </w:rPr>
              <w:t xml:space="preserve">eating </w:t>
            </w:r>
            <w:r w:rsidRPr="0074460E">
              <w:rPr>
                <w:snapToGrid w:val="0"/>
                <w:sz w:val="16"/>
                <w:lang w:eastAsia="en-US"/>
              </w:rPr>
              <w:t>V</w:t>
            </w:r>
            <w:r w:rsidR="008B5EDB">
              <w:rPr>
                <w:snapToGrid w:val="0"/>
                <w:sz w:val="16"/>
                <w:lang w:eastAsia="en-US"/>
              </w:rPr>
              <w:t xml:space="preserve">entilation </w:t>
            </w:r>
            <w:r w:rsidRPr="0074460E">
              <w:rPr>
                <w:snapToGrid w:val="0"/>
                <w:sz w:val="16"/>
                <w:lang w:eastAsia="en-US"/>
              </w:rPr>
              <w:t>A</w:t>
            </w:r>
            <w:r w:rsidR="008B5EDB">
              <w:rPr>
                <w:snapToGrid w:val="0"/>
                <w:sz w:val="16"/>
                <w:lang w:eastAsia="en-US"/>
              </w:rPr>
              <w:t xml:space="preserve">ir </w:t>
            </w:r>
            <w:r w:rsidRPr="0074460E">
              <w:rPr>
                <w:snapToGrid w:val="0"/>
                <w:sz w:val="16"/>
                <w:lang w:eastAsia="en-US"/>
              </w:rPr>
              <w:t>C</w:t>
            </w:r>
            <w:r w:rsidR="008B5EDB">
              <w:rPr>
                <w:snapToGrid w:val="0"/>
                <w:sz w:val="16"/>
                <w:lang w:eastAsia="en-US"/>
              </w:rPr>
              <w:t>onditioning</w:t>
            </w:r>
            <w:r w:rsidRPr="0074460E">
              <w:rPr>
                <w:snapToGrid w:val="0"/>
                <w:sz w:val="16"/>
                <w:lang w:eastAsia="en-US"/>
              </w:rPr>
              <w:t xml:space="preserve"> (filtration, pressures), Steam, Air Emissions</w:t>
            </w:r>
          </w:p>
        </w:tc>
      </w:tr>
      <w:tr w:rsidR="00512B82" w:rsidRPr="003A1BBB" w14:paraId="6231BED3" w14:textId="77777777" w:rsidTr="00136B18">
        <w:trPr>
          <w:trHeight w:val="228"/>
        </w:trPr>
        <w:tc>
          <w:tcPr>
            <w:tcW w:w="1743" w:type="dxa"/>
            <w:vMerge w:val="restart"/>
            <w:vAlign w:val="center"/>
          </w:tcPr>
          <w:p w14:paraId="20138F63" w14:textId="1240EC23" w:rsidR="00512B82" w:rsidRPr="0074460E" w:rsidRDefault="00512B82" w:rsidP="00EA261D">
            <w:pPr>
              <w:pStyle w:val="tabletext"/>
            </w:pPr>
            <w:r w:rsidRPr="0074460E">
              <w:t>Risk Management</w:t>
            </w:r>
          </w:p>
        </w:tc>
        <w:tc>
          <w:tcPr>
            <w:tcW w:w="3420" w:type="dxa"/>
          </w:tcPr>
          <w:p w14:paraId="5E3CEBDF" w14:textId="3275BEA2" w:rsidR="00512B82" w:rsidRPr="0074460E" w:rsidRDefault="00512B82" w:rsidP="00EA261D">
            <w:pPr>
              <w:pStyle w:val="tabletext"/>
            </w:pPr>
            <w:r>
              <w:t xml:space="preserve">Alerts, </w:t>
            </w:r>
            <w:r w:rsidR="00265FDC">
              <w:t>Hazards,</w:t>
            </w:r>
            <w:r>
              <w:t xml:space="preserve"> and Recalls</w:t>
            </w:r>
          </w:p>
        </w:tc>
      </w:tr>
      <w:tr w:rsidR="00512B82" w:rsidRPr="003A1BBB" w14:paraId="1DFE5138" w14:textId="77777777" w:rsidTr="00136B18">
        <w:trPr>
          <w:trHeight w:val="228"/>
        </w:trPr>
        <w:tc>
          <w:tcPr>
            <w:tcW w:w="1743" w:type="dxa"/>
            <w:vMerge/>
            <w:vAlign w:val="center"/>
          </w:tcPr>
          <w:p w14:paraId="241D174D" w14:textId="77777777" w:rsidR="00512B82" w:rsidRPr="0074460E" w:rsidRDefault="00512B82" w:rsidP="00EA261D">
            <w:pPr>
              <w:pStyle w:val="tabletext"/>
            </w:pPr>
          </w:p>
        </w:tc>
        <w:tc>
          <w:tcPr>
            <w:tcW w:w="3420" w:type="dxa"/>
            <w:vAlign w:val="center"/>
          </w:tcPr>
          <w:p w14:paraId="0A19E1F6" w14:textId="5C760022" w:rsidR="00512B82" w:rsidRPr="0074460E" w:rsidRDefault="00512B82" w:rsidP="00265FDC">
            <w:pPr>
              <w:ind w:firstLine="0"/>
              <w:rPr>
                <w:snapToGrid w:val="0"/>
                <w:sz w:val="16"/>
                <w:lang w:eastAsia="en-US"/>
              </w:rPr>
            </w:pPr>
            <w:r w:rsidRPr="0074460E">
              <w:rPr>
                <w:snapToGrid w:val="0"/>
                <w:sz w:val="16"/>
                <w:lang w:eastAsia="en-US"/>
              </w:rPr>
              <w:t xml:space="preserve">Just Culture, </w:t>
            </w:r>
            <w:r w:rsidR="00265FDC" w:rsidRPr="0074460E">
              <w:rPr>
                <w:snapToGrid w:val="0"/>
                <w:sz w:val="16"/>
                <w:lang w:eastAsia="en-US"/>
              </w:rPr>
              <w:t>Reporting,</w:t>
            </w:r>
            <w:r w:rsidRPr="0074460E">
              <w:rPr>
                <w:snapToGrid w:val="0"/>
                <w:sz w:val="16"/>
                <w:lang w:eastAsia="en-US"/>
              </w:rPr>
              <w:t xml:space="preserve"> and Incident Investigations, C</w:t>
            </w:r>
            <w:r w:rsidR="00D063C4">
              <w:rPr>
                <w:snapToGrid w:val="0"/>
                <w:sz w:val="16"/>
                <w:lang w:eastAsia="en-US"/>
              </w:rPr>
              <w:t xml:space="preserve">anadian </w:t>
            </w:r>
            <w:r w:rsidRPr="0074460E">
              <w:rPr>
                <w:snapToGrid w:val="0"/>
                <w:sz w:val="16"/>
                <w:lang w:eastAsia="en-US"/>
              </w:rPr>
              <w:t>M</w:t>
            </w:r>
            <w:r w:rsidR="00D063C4">
              <w:rPr>
                <w:snapToGrid w:val="0"/>
                <w:sz w:val="16"/>
                <w:lang w:eastAsia="en-US"/>
              </w:rPr>
              <w:t xml:space="preserve">edical </w:t>
            </w:r>
            <w:r w:rsidRPr="0074460E">
              <w:rPr>
                <w:snapToGrid w:val="0"/>
                <w:sz w:val="16"/>
                <w:lang w:eastAsia="en-US"/>
              </w:rPr>
              <w:t>D</w:t>
            </w:r>
            <w:r w:rsidR="00D063C4">
              <w:rPr>
                <w:snapToGrid w:val="0"/>
                <w:sz w:val="16"/>
                <w:lang w:eastAsia="en-US"/>
              </w:rPr>
              <w:t xml:space="preserve">evices </w:t>
            </w:r>
            <w:r w:rsidRPr="0074460E">
              <w:rPr>
                <w:snapToGrid w:val="0"/>
                <w:sz w:val="16"/>
                <w:lang w:eastAsia="en-US"/>
              </w:rPr>
              <w:t>S</w:t>
            </w:r>
            <w:r w:rsidR="00D063C4">
              <w:rPr>
                <w:snapToGrid w:val="0"/>
                <w:sz w:val="16"/>
                <w:lang w:eastAsia="en-US"/>
              </w:rPr>
              <w:t xml:space="preserve">entinel </w:t>
            </w:r>
            <w:r w:rsidRPr="0074460E">
              <w:rPr>
                <w:snapToGrid w:val="0"/>
                <w:sz w:val="16"/>
                <w:lang w:eastAsia="en-US"/>
              </w:rPr>
              <w:t>Net</w:t>
            </w:r>
            <w:r w:rsidR="00D063C4">
              <w:rPr>
                <w:snapToGrid w:val="0"/>
                <w:sz w:val="16"/>
                <w:lang w:eastAsia="en-US"/>
              </w:rPr>
              <w:t>work</w:t>
            </w:r>
            <w:r w:rsidRPr="0074460E">
              <w:rPr>
                <w:snapToGrid w:val="0"/>
                <w:sz w:val="16"/>
                <w:lang w:eastAsia="en-US"/>
              </w:rPr>
              <w:t xml:space="preserve"> and Vanessa’s Law</w:t>
            </w:r>
          </w:p>
        </w:tc>
      </w:tr>
      <w:tr w:rsidR="00512B82" w:rsidRPr="003A1BBB" w14:paraId="7F967D88" w14:textId="77777777" w:rsidTr="00136B18">
        <w:trPr>
          <w:trHeight w:val="228"/>
        </w:trPr>
        <w:tc>
          <w:tcPr>
            <w:tcW w:w="1743" w:type="dxa"/>
            <w:vMerge/>
            <w:vAlign w:val="center"/>
          </w:tcPr>
          <w:p w14:paraId="7F899FA5" w14:textId="77777777" w:rsidR="00512B82" w:rsidRPr="0074460E" w:rsidRDefault="00512B82" w:rsidP="00EA261D">
            <w:pPr>
              <w:pStyle w:val="tabletext"/>
            </w:pPr>
          </w:p>
        </w:tc>
        <w:tc>
          <w:tcPr>
            <w:tcW w:w="3420" w:type="dxa"/>
            <w:vAlign w:val="center"/>
          </w:tcPr>
          <w:p w14:paraId="6CC5E95D" w14:textId="3F2EFB5D" w:rsidR="00512B82" w:rsidRPr="0074460E" w:rsidRDefault="00512B82" w:rsidP="00EA261D">
            <w:pPr>
              <w:pStyle w:val="tabletext"/>
            </w:pPr>
            <w:r>
              <w:t>Radiation Safety</w:t>
            </w:r>
          </w:p>
        </w:tc>
      </w:tr>
      <w:tr w:rsidR="00512B82" w:rsidRPr="003A1BBB" w14:paraId="3A08D9BE" w14:textId="77777777" w:rsidTr="00136B18">
        <w:trPr>
          <w:trHeight w:val="228"/>
        </w:trPr>
        <w:tc>
          <w:tcPr>
            <w:tcW w:w="1743" w:type="dxa"/>
            <w:vMerge w:val="restart"/>
            <w:vAlign w:val="center"/>
          </w:tcPr>
          <w:p w14:paraId="108D7434" w14:textId="0B339110" w:rsidR="00512B82" w:rsidRPr="0074460E" w:rsidRDefault="00512B82" w:rsidP="00EA261D">
            <w:pPr>
              <w:pStyle w:val="tabletext"/>
            </w:pPr>
            <w:r w:rsidRPr="0074460E">
              <w:t>General Management</w:t>
            </w:r>
          </w:p>
        </w:tc>
        <w:tc>
          <w:tcPr>
            <w:tcW w:w="3420" w:type="dxa"/>
            <w:vAlign w:val="center"/>
          </w:tcPr>
          <w:p w14:paraId="75A44570" w14:textId="56A745A2" w:rsidR="00512B82" w:rsidRPr="0074460E" w:rsidRDefault="00512B82" w:rsidP="00D063C4">
            <w:pPr>
              <w:ind w:firstLine="0"/>
              <w:rPr>
                <w:snapToGrid w:val="0"/>
                <w:sz w:val="16"/>
                <w:lang w:eastAsia="en-US"/>
              </w:rPr>
            </w:pPr>
            <w:r w:rsidRPr="0074460E">
              <w:rPr>
                <w:snapToGrid w:val="0"/>
                <w:sz w:val="16"/>
                <w:lang w:eastAsia="en-US"/>
              </w:rPr>
              <w:t>HR, Staffing, Performance Management, Unions, Accommodations, etc.</w:t>
            </w:r>
          </w:p>
        </w:tc>
      </w:tr>
      <w:tr w:rsidR="00512B82" w:rsidRPr="003A1BBB" w14:paraId="2FBE707D" w14:textId="77777777" w:rsidTr="00136B18">
        <w:trPr>
          <w:trHeight w:val="228"/>
        </w:trPr>
        <w:tc>
          <w:tcPr>
            <w:tcW w:w="1743" w:type="dxa"/>
            <w:vMerge/>
            <w:vAlign w:val="center"/>
          </w:tcPr>
          <w:p w14:paraId="6205F99B" w14:textId="77777777" w:rsidR="00512B82" w:rsidRPr="0074460E" w:rsidRDefault="00512B82" w:rsidP="00EA261D">
            <w:pPr>
              <w:pStyle w:val="tabletext"/>
            </w:pPr>
          </w:p>
        </w:tc>
        <w:tc>
          <w:tcPr>
            <w:tcW w:w="3420" w:type="dxa"/>
            <w:vAlign w:val="center"/>
          </w:tcPr>
          <w:p w14:paraId="7BB37C8F" w14:textId="00D3BC3C" w:rsidR="00512B82" w:rsidRPr="0074460E" w:rsidRDefault="00512B82" w:rsidP="00EA261D">
            <w:pPr>
              <w:pStyle w:val="tabletext"/>
            </w:pPr>
            <w:r>
              <w:t>Creation of Policies, Standard Operating Procedures, Job Procedures and Checklists</w:t>
            </w:r>
          </w:p>
        </w:tc>
      </w:tr>
      <w:tr w:rsidR="00512B82" w:rsidRPr="003A1BBB" w14:paraId="755A9D25" w14:textId="77777777" w:rsidTr="00136B18">
        <w:trPr>
          <w:trHeight w:val="228"/>
        </w:trPr>
        <w:tc>
          <w:tcPr>
            <w:tcW w:w="1743" w:type="dxa"/>
            <w:vMerge w:val="restart"/>
            <w:vAlign w:val="center"/>
          </w:tcPr>
          <w:p w14:paraId="15BDBF9C" w14:textId="76C65768" w:rsidR="00512B82" w:rsidRPr="0074460E" w:rsidRDefault="00512B82" w:rsidP="00EA261D">
            <w:pPr>
              <w:pStyle w:val="tabletext"/>
            </w:pPr>
            <w:r>
              <w:t>Clinical Engineering Profession</w:t>
            </w:r>
          </w:p>
        </w:tc>
        <w:tc>
          <w:tcPr>
            <w:tcW w:w="3420" w:type="dxa"/>
            <w:vAlign w:val="center"/>
          </w:tcPr>
          <w:p w14:paraId="7F4E2E7E" w14:textId="3022B8ED" w:rsidR="00512B82" w:rsidRPr="0074460E" w:rsidRDefault="00512B82" w:rsidP="00EA261D">
            <w:pPr>
              <w:pStyle w:val="tabletext"/>
            </w:pPr>
            <w:r>
              <w:t>What is a clinical engineer? [</w:t>
            </w:r>
            <w:r w:rsidR="00166A90">
              <w:t>18</w:t>
            </w:r>
            <w:r>
              <w:t>]</w:t>
            </w:r>
          </w:p>
        </w:tc>
      </w:tr>
      <w:tr w:rsidR="00512B82" w:rsidRPr="003A1BBB" w14:paraId="79E4A983" w14:textId="77777777" w:rsidTr="00136B18">
        <w:trPr>
          <w:trHeight w:val="228"/>
        </w:trPr>
        <w:tc>
          <w:tcPr>
            <w:tcW w:w="1743" w:type="dxa"/>
            <w:vMerge/>
            <w:vAlign w:val="center"/>
          </w:tcPr>
          <w:p w14:paraId="06506E28" w14:textId="77777777" w:rsidR="00512B82" w:rsidRPr="0074460E" w:rsidRDefault="00512B82" w:rsidP="00EA261D">
            <w:pPr>
              <w:pStyle w:val="tabletext"/>
            </w:pPr>
          </w:p>
        </w:tc>
        <w:tc>
          <w:tcPr>
            <w:tcW w:w="3420" w:type="dxa"/>
            <w:vAlign w:val="center"/>
          </w:tcPr>
          <w:p w14:paraId="1D41A1B0" w14:textId="1C8BA66F" w:rsidR="00512B82" w:rsidRPr="0074460E" w:rsidRDefault="00512B82" w:rsidP="00EA261D">
            <w:pPr>
              <w:pStyle w:val="tabletext"/>
            </w:pPr>
            <w:r>
              <w:t>Clinical Engineering Profession [</w:t>
            </w:r>
            <w:r w:rsidR="00166A90">
              <w:t>19</w:t>
            </w:r>
            <w:r>
              <w:t>]</w:t>
            </w:r>
          </w:p>
        </w:tc>
      </w:tr>
      <w:tr w:rsidR="00512B82" w:rsidRPr="003A1BBB" w14:paraId="132A4840" w14:textId="77777777" w:rsidTr="00136B18">
        <w:trPr>
          <w:trHeight w:val="228"/>
        </w:trPr>
        <w:tc>
          <w:tcPr>
            <w:tcW w:w="1743" w:type="dxa"/>
            <w:vMerge/>
            <w:vAlign w:val="center"/>
          </w:tcPr>
          <w:p w14:paraId="670919BD" w14:textId="77777777" w:rsidR="00512B82" w:rsidRPr="0074460E" w:rsidRDefault="00512B82" w:rsidP="00EA261D">
            <w:pPr>
              <w:pStyle w:val="tabletext"/>
            </w:pPr>
          </w:p>
        </w:tc>
        <w:tc>
          <w:tcPr>
            <w:tcW w:w="3420" w:type="dxa"/>
            <w:vAlign w:val="center"/>
          </w:tcPr>
          <w:p w14:paraId="5E558DB5" w14:textId="458327D2" w:rsidR="00512B82" w:rsidRPr="0008192B" w:rsidRDefault="00512B82" w:rsidP="00EA261D">
            <w:pPr>
              <w:pStyle w:val="tabletext"/>
            </w:pPr>
            <w:r w:rsidRPr="0008192B">
              <w:t>Clinical Engineering &amp; Medical Devices [</w:t>
            </w:r>
            <w:r w:rsidR="00166A90">
              <w:t>20</w:t>
            </w:r>
            <w:r w:rsidRPr="0008192B">
              <w:t>]</w:t>
            </w:r>
          </w:p>
        </w:tc>
      </w:tr>
      <w:tr w:rsidR="00512B82" w:rsidRPr="003A1BBB" w14:paraId="52B572A7" w14:textId="77777777" w:rsidTr="00136B18">
        <w:trPr>
          <w:trHeight w:val="228"/>
        </w:trPr>
        <w:tc>
          <w:tcPr>
            <w:tcW w:w="1743" w:type="dxa"/>
            <w:vMerge/>
            <w:vAlign w:val="center"/>
          </w:tcPr>
          <w:p w14:paraId="1AB5E66F" w14:textId="35B45B65" w:rsidR="00512B82" w:rsidRDefault="00512B82" w:rsidP="00EA261D">
            <w:pPr>
              <w:pStyle w:val="tabletext"/>
              <w:rPr>
                <w:highlight w:val="yellow"/>
              </w:rPr>
            </w:pPr>
          </w:p>
        </w:tc>
        <w:tc>
          <w:tcPr>
            <w:tcW w:w="3420" w:type="dxa"/>
            <w:vAlign w:val="center"/>
          </w:tcPr>
          <w:p w14:paraId="2F7265BB" w14:textId="458FBDFF" w:rsidR="00512B82" w:rsidRPr="0008192B" w:rsidRDefault="00512B82" w:rsidP="00EA261D">
            <w:pPr>
              <w:pStyle w:val="tabletext"/>
            </w:pPr>
            <w:r w:rsidRPr="0008192B">
              <w:t>Associations or Societies to explore in CE</w:t>
            </w:r>
          </w:p>
        </w:tc>
      </w:tr>
      <w:tr w:rsidR="00512B82" w:rsidRPr="003A1BBB" w14:paraId="7949B8D8" w14:textId="77777777" w:rsidTr="00136B18">
        <w:trPr>
          <w:trHeight w:val="228"/>
        </w:trPr>
        <w:tc>
          <w:tcPr>
            <w:tcW w:w="1743" w:type="dxa"/>
            <w:vMerge w:val="restart"/>
            <w:vAlign w:val="center"/>
          </w:tcPr>
          <w:p w14:paraId="690CE306" w14:textId="21D517D6" w:rsidR="00512B82" w:rsidRPr="00512B82" w:rsidRDefault="00512B82" w:rsidP="00EA261D">
            <w:pPr>
              <w:pStyle w:val="tabletext"/>
            </w:pPr>
            <w:r w:rsidRPr="00512B82">
              <w:t>Other</w:t>
            </w:r>
          </w:p>
        </w:tc>
        <w:tc>
          <w:tcPr>
            <w:tcW w:w="3420" w:type="dxa"/>
            <w:vAlign w:val="center"/>
          </w:tcPr>
          <w:p w14:paraId="59C5187F" w14:textId="0EE5E153" w:rsidR="00512B82" w:rsidRPr="00512B82" w:rsidRDefault="00512B82" w:rsidP="00EA261D">
            <w:pPr>
              <w:pStyle w:val="tabletext"/>
            </w:pPr>
            <w:r w:rsidRPr="00512B82">
              <w:t>Infection control/PPE Session</w:t>
            </w:r>
          </w:p>
        </w:tc>
      </w:tr>
      <w:tr w:rsidR="00512B82" w:rsidRPr="003A1BBB" w14:paraId="6884C70B" w14:textId="77777777" w:rsidTr="00136B18">
        <w:trPr>
          <w:trHeight w:val="228"/>
        </w:trPr>
        <w:tc>
          <w:tcPr>
            <w:tcW w:w="1743" w:type="dxa"/>
            <w:vMerge/>
            <w:vAlign w:val="center"/>
          </w:tcPr>
          <w:p w14:paraId="7606099B" w14:textId="77777777" w:rsidR="00512B82" w:rsidRPr="00512B82" w:rsidRDefault="00512B82" w:rsidP="00EA261D">
            <w:pPr>
              <w:pStyle w:val="tabletext"/>
            </w:pPr>
          </w:p>
        </w:tc>
        <w:tc>
          <w:tcPr>
            <w:tcW w:w="3420" w:type="dxa"/>
            <w:vAlign w:val="center"/>
          </w:tcPr>
          <w:p w14:paraId="2AA72009" w14:textId="7C0A5EEC" w:rsidR="00512B82" w:rsidRPr="00512B82" w:rsidRDefault="00512B82" w:rsidP="00EA261D">
            <w:pPr>
              <w:pStyle w:val="tabletext"/>
            </w:pPr>
            <w:r w:rsidRPr="00512B82">
              <w:t>Diagnostic Imaging Devices</w:t>
            </w:r>
          </w:p>
        </w:tc>
      </w:tr>
      <w:tr w:rsidR="00512B82" w:rsidRPr="003A1BBB" w14:paraId="3F1F6215" w14:textId="77777777" w:rsidTr="00136B18">
        <w:trPr>
          <w:trHeight w:val="228"/>
        </w:trPr>
        <w:tc>
          <w:tcPr>
            <w:tcW w:w="1743" w:type="dxa"/>
            <w:vMerge/>
            <w:vAlign w:val="center"/>
          </w:tcPr>
          <w:p w14:paraId="4C0D7A26" w14:textId="77777777" w:rsidR="00512B82" w:rsidRPr="00512B82" w:rsidRDefault="00512B82" w:rsidP="00EA261D">
            <w:pPr>
              <w:pStyle w:val="tabletext"/>
            </w:pPr>
          </w:p>
        </w:tc>
        <w:tc>
          <w:tcPr>
            <w:tcW w:w="3420" w:type="dxa"/>
            <w:vAlign w:val="center"/>
          </w:tcPr>
          <w:p w14:paraId="61D18D1C" w14:textId="51BACDCC" w:rsidR="00512B82" w:rsidRPr="00512B82" w:rsidRDefault="00512B82" w:rsidP="00EA261D">
            <w:pPr>
              <w:pStyle w:val="tabletext"/>
            </w:pPr>
            <w:r w:rsidRPr="00512B82">
              <w:t>Niche DI Equipment</w:t>
            </w:r>
          </w:p>
        </w:tc>
      </w:tr>
      <w:tr w:rsidR="00512B82" w:rsidRPr="003A1BBB" w14:paraId="3524128E" w14:textId="77777777" w:rsidTr="00136B18">
        <w:trPr>
          <w:trHeight w:val="228"/>
        </w:trPr>
        <w:tc>
          <w:tcPr>
            <w:tcW w:w="1743" w:type="dxa"/>
            <w:vMerge/>
            <w:vAlign w:val="center"/>
          </w:tcPr>
          <w:p w14:paraId="06C5B903" w14:textId="77777777" w:rsidR="00512B82" w:rsidRPr="00512B82" w:rsidRDefault="00512B82" w:rsidP="00EA261D">
            <w:pPr>
              <w:pStyle w:val="tabletext"/>
            </w:pPr>
          </w:p>
        </w:tc>
        <w:tc>
          <w:tcPr>
            <w:tcW w:w="3420" w:type="dxa"/>
            <w:vAlign w:val="center"/>
          </w:tcPr>
          <w:p w14:paraId="6A5760A9" w14:textId="63D6B409" w:rsidR="00512B82" w:rsidRPr="00512B82" w:rsidRDefault="00512B82" w:rsidP="00EA261D">
            <w:pPr>
              <w:pStyle w:val="tabletext"/>
            </w:pPr>
            <w:r w:rsidRPr="00512B82">
              <w:t>Clinical Engineering in Scotland – International perspective</w:t>
            </w:r>
          </w:p>
        </w:tc>
      </w:tr>
    </w:tbl>
    <w:p w14:paraId="0157CEEF" w14:textId="77777777" w:rsidR="00936E58" w:rsidRDefault="00936E58" w:rsidP="00936E58">
      <w:pPr>
        <w:pStyle w:val="Heading2"/>
        <w:ind w:left="0"/>
      </w:pPr>
      <w:r>
        <w:t>Internship Tutorial Series</w:t>
      </w:r>
    </w:p>
    <w:p w14:paraId="20AA66AA" w14:textId="737A4A5F" w:rsidR="00936E58" w:rsidRPr="001A2BA3" w:rsidRDefault="00F87377" w:rsidP="00936E58">
      <w:r>
        <w:t xml:space="preserve">An </w:t>
      </w:r>
      <w:r w:rsidR="00936E58">
        <w:t>online tutorial series</w:t>
      </w:r>
      <w:r>
        <w:t xml:space="preserve"> was created</w:t>
      </w:r>
      <w:r w:rsidR="00936E58">
        <w:t xml:space="preserve"> from May-Dec</w:t>
      </w:r>
      <w:r>
        <w:t xml:space="preserve">ember </w:t>
      </w:r>
      <w:r w:rsidR="00936E58">
        <w:t>each year, where experts provide a 4</w:t>
      </w:r>
      <w:r>
        <w:t>5</w:t>
      </w:r>
      <w:r w:rsidR="00936E58">
        <w:t xml:space="preserve">–60-minute lecture for </w:t>
      </w:r>
      <w:r w:rsidR="00936E58">
        <w:lastRenderedPageBreak/>
        <w:t>their area of expertise. This broadens the scope and enhances the learning from a larger group. The lectures are slotted into the ACCE BoK headings where possible. Table 2 provides a summary of our 2023 Tutorial Series.</w:t>
      </w:r>
    </w:p>
    <w:p w14:paraId="11F11927" w14:textId="25CBF46A" w:rsidR="00F615CD" w:rsidRPr="006541B2" w:rsidRDefault="001E18DA" w:rsidP="00F615CD">
      <w:pPr>
        <w:pStyle w:val="heading10"/>
      </w:pPr>
      <w:r w:rsidRPr="006541B2">
        <w:t>Results</w:t>
      </w:r>
    </w:p>
    <w:p w14:paraId="66FB6376" w14:textId="082448DA" w:rsidR="00BC7199" w:rsidRPr="006541B2" w:rsidRDefault="003A1BBB" w:rsidP="001E18DA">
      <w:pPr>
        <w:pStyle w:val="Heading2"/>
        <w:ind w:left="0"/>
      </w:pPr>
      <w:r w:rsidRPr="006541B2">
        <w:t>Success of the Graduate Internship</w:t>
      </w:r>
      <w:r w:rsidR="00BC7199" w:rsidRPr="006541B2">
        <w:t xml:space="preserve"> </w:t>
      </w:r>
    </w:p>
    <w:p w14:paraId="75753BDA" w14:textId="26FB0D57" w:rsidR="00BC7199" w:rsidRPr="006541B2" w:rsidRDefault="00BC7199" w:rsidP="0045463B">
      <w:r w:rsidRPr="006541B2">
        <w:t xml:space="preserve">The </w:t>
      </w:r>
      <w:r w:rsidR="0019480F">
        <w:t>OCIBME</w:t>
      </w:r>
      <w:r w:rsidRPr="006541B2">
        <w:t xml:space="preserve"> Clinical Engineering </w:t>
      </w:r>
      <w:r w:rsidR="0019480F">
        <w:t>Concentration</w:t>
      </w:r>
      <w:r w:rsidR="0019480F" w:rsidRPr="006541B2">
        <w:t xml:space="preserve"> </w:t>
      </w:r>
      <w:r w:rsidRPr="006541B2">
        <w:t>(CE</w:t>
      </w:r>
      <w:r w:rsidR="0019480F">
        <w:t>C</w:t>
      </w:r>
      <w:r w:rsidRPr="006541B2">
        <w:t>)</w:t>
      </w:r>
      <w:r w:rsidR="00CF5A23">
        <w:t xml:space="preserve"> has had many</w:t>
      </w:r>
      <w:r w:rsidRPr="006541B2">
        <w:t xml:space="preserve"> iterations</w:t>
      </w:r>
      <w:r w:rsidR="003A1BBB" w:rsidRPr="006541B2">
        <w:t>.</w:t>
      </w:r>
      <w:r w:rsidR="0045463B" w:rsidRPr="006541B2">
        <w:rPr>
          <w:lang w:val="en-CA"/>
        </w:rPr>
        <w:t xml:space="preserve"> The CEP has graduated 9 students from the </w:t>
      </w:r>
      <w:r w:rsidR="00D22B59">
        <w:rPr>
          <w:lang w:val="en-CA"/>
        </w:rPr>
        <w:t>I</w:t>
      </w:r>
      <w:r w:rsidR="0045463B" w:rsidRPr="006541B2">
        <w:rPr>
          <w:lang w:val="en-CA"/>
        </w:rPr>
        <w:t xml:space="preserve">nternship and at the time of writing this article will have another 3 in December 2023. </w:t>
      </w:r>
      <w:r w:rsidR="006E5DF5" w:rsidRPr="006541B2">
        <w:rPr>
          <w:lang w:val="en-CA"/>
        </w:rPr>
        <w:t>2024 will mark the 7</w:t>
      </w:r>
      <w:r w:rsidR="006E5DF5" w:rsidRPr="006541B2">
        <w:rPr>
          <w:vertAlign w:val="superscript"/>
          <w:lang w:val="en-CA"/>
        </w:rPr>
        <w:t>th</w:t>
      </w:r>
      <w:r w:rsidR="006E5DF5" w:rsidRPr="006541B2">
        <w:rPr>
          <w:lang w:val="en-CA"/>
        </w:rPr>
        <w:t xml:space="preserve"> cycle of the </w:t>
      </w:r>
      <w:r w:rsidR="00D22B59">
        <w:rPr>
          <w:lang w:val="en-CA"/>
        </w:rPr>
        <w:t>I</w:t>
      </w:r>
      <w:r w:rsidR="006E5DF5" w:rsidRPr="006541B2">
        <w:rPr>
          <w:lang w:val="en-CA"/>
        </w:rPr>
        <w:t>nternship</w:t>
      </w:r>
      <w:r w:rsidRPr="006541B2">
        <w:t xml:space="preserve"> </w:t>
      </w:r>
      <w:r w:rsidR="0045463B" w:rsidRPr="006541B2">
        <w:t xml:space="preserve">since </w:t>
      </w:r>
      <w:r w:rsidR="00CF5A23" w:rsidRPr="006541B2">
        <w:t>its</w:t>
      </w:r>
      <w:r w:rsidR="0045463B" w:rsidRPr="006541B2">
        <w:t xml:space="preserve"> </w:t>
      </w:r>
      <w:r w:rsidR="00C76794" w:rsidRPr="006541B2">
        <w:t>inception</w:t>
      </w:r>
      <w:r w:rsidR="00F26B49" w:rsidRPr="006541B2">
        <w:t xml:space="preserve"> a decade ago. We are excited</w:t>
      </w:r>
      <w:r w:rsidR="001E371A" w:rsidRPr="006541B2">
        <w:t xml:space="preserve"> that</w:t>
      </w:r>
      <w:r w:rsidR="00F26B49" w:rsidRPr="006541B2">
        <w:t xml:space="preserve"> </w:t>
      </w:r>
      <w:r w:rsidR="00C76794" w:rsidRPr="006541B2">
        <w:t>a</w:t>
      </w:r>
      <w:r w:rsidR="0045463B" w:rsidRPr="006541B2">
        <w:t xml:space="preserve">n additional 4 students have already been selected </w:t>
      </w:r>
      <w:r w:rsidR="00C76794" w:rsidRPr="006541B2">
        <w:t xml:space="preserve">for the May – Dec 2024 </w:t>
      </w:r>
      <w:r w:rsidR="00D22B59">
        <w:t>I</w:t>
      </w:r>
      <w:r w:rsidR="00025C13">
        <w:t>nternships</w:t>
      </w:r>
      <w:r w:rsidR="00C76794" w:rsidRPr="006541B2">
        <w:t>.</w:t>
      </w:r>
    </w:p>
    <w:p w14:paraId="12E94066" w14:textId="3A8EB0BA" w:rsidR="0045463B" w:rsidRPr="00BC7199" w:rsidRDefault="0045463B" w:rsidP="0045463B">
      <w:pPr>
        <w:rPr>
          <w:lang w:val="en-CA"/>
        </w:rPr>
      </w:pPr>
      <w:r w:rsidRPr="006541B2">
        <w:t xml:space="preserve">Expansion of this </w:t>
      </w:r>
      <w:r w:rsidR="00D22B59">
        <w:t>I</w:t>
      </w:r>
      <w:r w:rsidRPr="006541B2">
        <w:t>nternship</w:t>
      </w:r>
      <w:r>
        <w:t xml:space="preserve"> will continue to other </w:t>
      </w:r>
      <w:r w:rsidR="001E371A">
        <w:t>cities</w:t>
      </w:r>
      <w:r>
        <w:t xml:space="preserve"> </w:t>
      </w:r>
      <w:r w:rsidR="003D6858">
        <w:t>such as</w:t>
      </w:r>
      <w:r>
        <w:t xml:space="preserve"> Toronto that was dependent on the UofT</w:t>
      </w:r>
      <w:r w:rsidR="001B73AD">
        <w:t xml:space="preserve"> M</w:t>
      </w:r>
      <w:r w:rsidR="009C6B30">
        <w:t xml:space="preserve">asters </w:t>
      </w:r>
      <w:r w:rsidR="001B73AD">
        <w:t>H</w:t>
      </w:r>
      <w:r w:rsidR="009C6B30">
        <w:t xml:space="preserve">ealth </w:t>
      </w:r>
      <w:r w:rsidR="001B73AD">
        <w:t>Sc</w:t>
      </w:r>
      <w:r w:rsidR="009C6B30">
        <w:t>ience</w:t>
      </w:r>
      <w:r>
        <w:t xml:space="preserve"> program. 2024</w:t>
      </w:r>
      <w:r w:rsidR="003D6858">
        <w:t xml:space="preserve"> </w:t>
      </w:r>
      <w:r>
        <w:t>will mark a new opportunity for an intern to work with the University Health Network</w:t>
      </w:r>
      <w:r w:rsidR="00532406">
        <w:t xml:space="preserve"> (UHN)</w:t>
      </w:r>
      <w:r>
        <w:t xml:space="preserve"> in Toronto.</w:t>
      </w:r>
      <w:r w:rsidR="00A54DBD">
        <w:t xml:space="preserve"> We are excited to see this growth and conversations remain to expand to other willing placement organizations.</w:t>
      </w:r>
    </w:p>
    <w:p w14:paraId="51FD655A" w14:textId="6D4D7429" w:rsidR="00BC7199" w:rsidRPr="00F81475" w:rsidRDefault="00BC7199" w:rsidP="00F81475">
      <w:pPr>
        <w:rPr>
          <w:lang w:val="en-CA"/>
        </w:rPr>
      </w:pPr>
      <w:r w:rsidRPr="00BC7199">
        <w:t>The Canadian Clinical Engineering landscape benefits from building a program</w:t>
      </w:r>
      <w:r w:rsidR="00F81475">
        <w:t xml:space="preserve"> and a</w:t>
      </w:r>
      <w:r w:rsidRPr="003A1BBB">
        <w:t>spiring International Clinical Engineering programs can use knowledge from this established Internship program</w:t>
      </w:r>
      <w:r w:rsidR="008B4731">
        <w:t>.</w:t>
      </w:r>
    </w:p>
    <w:p w14:paraId="464E46AD" w14:textId="77777777" w:rsidR="001367C9" w:rsidRPr="008F3B6D" w:rsidRDefault="001367C9" w:rsidP="001367C9">
      <w:pPr>
        <w:pStyle w:val="Heading2"/>
        <w:ind w:left="0"/>
      </w:pPr>
      <w:r w:rsidRPr="008F3B6D">
        <w:t>Clinical Engineering Society of Ontario Conference</w:t>
      </w:r>
    </w:p>
    <w:p w14:paraId="43FA435F" w14:textId="1AC946F0" w:rsidR="001367C9" w:rsidRDefault="004530D4" w:rsidP="001367C9">
      <w:r w:rsidRPr="008F3B6D">
        <w:t xml:space="preserve">It is an expectation that </w:t>
      </w:r>
      <w:r w:rsidR="00635974" w:rsidRPr="008F3B6D">
        <w:t>all</w:t>
      </w:r>
      <w:r w:rsidRPr="008F3B6D">
        <w:t xml:space="preserve"> our students will present their final project report in front of a </w:t>
      </w:r>
      <w:r w:rsidRPr="008F3B6D">
        <w:rPr>
          <w:i/>
          <w:iCs/>
        </w:rPr>
        <w:t>panel of peers</w:t>
      </w:r>
      <w:r w:rsidRPr="008F3B6D">
        <w:t xml:space="preserve">. </w:t>
      </w:r>
      <w:r w:rsidR="00094F09" w:rsidRPr="008F3B6D">
        <w:t xml:space="preserve">This is an important finishing step in the Internship to prepare the student to share their work. </w:t>
      </w:r>
      <w:r w:rsidR="007F5524" w:rsidRPr="008F3B6D">
        <w:t xml:space="preserve">We want the students to be supported by </w:t>
      </w:r>
      <w:r w:rsidR="00471186" w:rsidRPr="008F3B6D">
        <w:t xml:space="preserve">their peers </w:t>
      </w:r>
      <w:r w:rsidR="007F5524" w:rsidRPr="008F3B6D">
        <w:t>and challenged by coll</w:t>
      </w:r>
      <w:r w:rsidR="007F5524">
        <w:t>eagues</w:t>
      </w:r>
      <w:r w:rsidR="00471186">
        <w:t xml:space="preserve"> on their work and perspectives. </w:t>
      </w:r>
      <w:r w:rsidRPr="009C1E5B">
        <w:t>Prior to the pandemic, we</w:t>
      </w:r>
      <w:r w:rsidR="00635974" w:rsidRPr="009C1E5B">
        <w:t xml:space="preserve"> </w:t>
      </w:r>
      <w:r w:rsidR="00854622">
        <w:t xml:space="preserve">worked with </w:t>
      </w:r>
      <w:r w:rsidR="00E90A2B" w:rsidRPr="009C1E5B">
        <w:t xml:space="preserve">the Clinical Engineering Society of Ontario (CESO) to </w:t>
      </w:r>
      <w:r w:rsidR="009C1E5B" w:rsidRPr="009C1E5B">
        <w:t xml:space="preserve">reserve </w:t>
      </w:r>
      <w:r w:rsidR="00854622">
        <w:t>time</w:t>
      </w:r>
      <w:r w:rsidR="00C97372">
        <w:t xml:space="preserve"> for</w:t>
      </w:r>
      <w:r w:rsidR="00DC3D99">
        <w:t xml:space="preserve"> the presentation of</w:t>
      </w:r>
      <w:r w:rsidR="00C97372">
        <w:t xml:space="preserve"> </w:t>
      </w:r>
      <w:r w:rsidR="001F0DA4">
        <w:t>I</w:t>
      </w:r>
      <w:r w:rsidR="00C97372">
        <w:t>nternship work.</w:t>
      </w:r>
      <w:r w:rsidR="002A0CB5">
        <w:t xml:space="preserve"> Now</w:t>
      </w:r>
      <w:r w:rsidR="00A63AF6">
        <w:t>,</w:t>
      </w:r>
      <w:r w:rsidR="002A0CB5">
        <w:t xml:space="preserve"> we </w:t>
      </w:r>
      <w:r w:rsidR="009B0472">
        <w:t xml:space="preserve">work with </w:t>
      </w:r>
      <w:r w:rsidR="00A63AF6">
        <w:t>t</w:t>
      </w:r>
      <w:r w:rsidR="009B0472" w:rsidRPr="009B0472">
        <w:t>he Canadian Medical and Biological Engineering Society</w:t>
      </w:r>
      <w:r w:rsidR="00915EB8">
        <w:t xml:space="preserve"> (CMBES) to organize an online webinar of one hour where CE intern</w:t>
      </w:r>
      <w:r w:rsidR="00AD6668">
        <w:t>s can present their</w:t>
      </w:r>
      <w:r w:rsidR="007B06F0">
        <w:t xml:space="preserve"> contributions to the field of work. </w:t>
      </w:r>
    </w:p>
    <w:p w14:paraId="695EB52C" w14:textId="2531F4C3" w:rsidR="00F615CD" w:rsidRPr="004716FD" w:rsidRDefault="001E18DA" w:rsidP="001E18DA">
      <w:pPr>
        <w:pStyle w:val="Heading2"/>
        <w:ind w:left="0"/>
      </w:pPr>
      <w:r w:rsidRPr="004716FD">
        <w:t>A</w:t>
      </w:r>
      <w:r w:rsidR="009558FA" w:rsidRPr="004716FD">
        <w:t xml:space="preserve">merican </w:t>
      </w:r>
      <w:r w:rsidRPr="004716FD">
        <w:t>C</w:t>
      </w:r>
      <w:r w:rsidR="009558FA" w:rsidRPr="004716FD">
        <w:t xml:space="preserve">ollege of </w:t>
      </w:r>
      <w:r w:rsidRPr="004716FD">
        <w:t>C</w:t>
      </w:r>
      <w:r w:rsidR="009558FA" w:rsidRPr="004716FD">
        <w:t xml:space="preserve">linical </w:t>
      </w:r>
      <w:r w:rsidRPr="004716FD">
        <w:t>E</w:t>
      </w:r>
      <w:r w:rsidR="009558FA" w:rsidRPr="004716FD">
        <w:t>ngineering</w:t>
      </w:r>
      <w:r w:rsidRPr="004716FD">
        <w:t xml:space="preserve"> Awards</w:t>
      </w:r>
    </w:p>
    <w:p w14:paraId="6C826DF3" w14:textId="3167A255" w:rsidR="00C2478A" w:rsidRDefault="00394E63" w:rsidP="0047031D">
      <w:r>
        <w:t>F</w:t>
      </w:r>
      <w:r w:rsidR="004716FD">
        <w:t>our</w:t>
      </w:r>
      <w:r w:rsidR="00DB4C48">
        <w:t xml:space="preserve"> Clinical Engineering Interns </w:t>
      </w:r>
      <w:r>
        <w:t>have won</w:t>
      </w:r>
      <w:r w:rsidR="00DB4C48">
        <w:t xml:space="preserve"> the A</w:t>
      </w:r>
      <w:r w:rsidR="004716FD">
        <w:t>CCE</w:t>
      </w:r>
      <w:r w:rsidR="00DB4C48">
        <w:t xml:space="preserve"> student paper competition</w:t>
      </w:r>
      <w:r w:rsidR="00CE7984">
        <w:t xml:space="preserve"> </w:t>
      </w:r>
      <w:r w:rsidR="00207367">
        <w:t xml:space="preserve">in the </w:t>
      </w:r>
      <w:r w:rsidR="00FD450D">
        <w:t>US/Canada Master</w:t>
      </w:r>
      <w:r>
        <w:t xml:space="preserve"> Division</w:t>
      </w:r>
      <w:r w:rsidR="00FD450D">
        <w:t xml:space="preserve"> 2020</w:t>
      </w:r>
      <w:r>
        <w:t>-2023</w:t>
      </w:r>
      <w:r w:rsidR="004716FD">
        <w:t xml:space="preserve"> [</w:t>
      </w:r>
      <w:r w:rsidR="00E640F0">
        <w:t>21</w:t>
      </w:r>
      <w:r w:rsidR="004716FD">
        <w:t>]</w:t>
      </w:r>
      <w:r w:rsidR="00FD450D">
        <w:t>.</w:t>
      </w:r>
      <w:r w:rsidR="00B96DE2">
        <w:t xml:space="preserve"> These awards </w:t>
      </w:r>
      <w:r w:rsidR="009C2B0D">
        <w:t>clear</w:t>
      </w:r>
      <w:r>
        <w:t>ly</w:t>
      </w:r>
      <w:r w:rsidR="009C2B0D">
        <w:t xml:space="preserve"> </w:t>
      </w:r>
      <w:r w:rsidR="00B96DE2">
        <w:t>demonstrat</w:t>
      </w:r>
      <w:r>
        <w:t xml:space="preserve">e </w:t>
      </w:r>
      <w:r w:rsidR="009C2B0D">
        <w:t>of the caliber of students in the program</w:t>
      </w:r>
      <w:r w:rsidR="00E012E5">
        <w:t>, the</w:t>
      </w:r>
      <w:r w:rsidR="009C2B0D">
        <w:t xml:space="preserve"> strength of the </w:t>
      </w:r>
      <w:r w:rsidR="0010741B">
        <w:t>I</w:t>
      </w:r>
      <w:r w:rsidR="009C2B0D">
        <w:t>nternship</w:t>
      </w:r>
      <w:r w:rsidR="0099241A">
        <w:t xml:space="preserve"> and </w:t>
      </w:r>
      <w:r w:rsidR="00EC2CC2">
        <w:t>the novel enhancements their work</w:t>
      </w:r>
      <w:r w:rsidR="00D13ACF">
        <w:t xml:space="preserve"> </w:t>
      </w:r>
      <w:r w:rsidR="00EC2CC2">
        <w:t>provides to CE d</w:t>
      </w:r>
      <w:r w:rsidR="00D13ACF">
        <w:t>epartments</w:t>
      </w:r>
      <w:r w:rsidR="00123A48">
        <w:t>.</w:t>
      </w:r>
      <w:r w:rsidR="00090672">
        <w:t xml:space="preserve"> </w:t>
      </w:r>
      <w:r w:rsidR="00346BD2">
        <w:t xml:space="preserve">These </w:t>
      </w:r>
      <w:r w:rsidR="00877AFA">
        <w:t>award-winning</w:t>
      </w:r>
      <w:r w:rsidR="00E012E5">
        <w:t xml:space="preserve"> papers are</w:t>
      </w:r>
      <w:r w:rsidR="000A03EE">
        <w:t xml:space="preserve"> publish</w:t>
      </w:r>
      <w:r w:rsidR="00E012E5">
        <w:t>ed</w:t>
      </w:r>
      <w:r w:rsidR="000A03EE">
        <w:t xml:space="preserve"> in the </w:t>
      </w:r>
      <w:r w:rsidR="000A03EE">
        <w:t xml:space="preserve">Journal of Clinical </w:t>
      </w:r>
      <w:r w:rsidR="00C24306">
        <w:t>Engineering</w:t>
      </w:r>
      <w:r w:rsidR="003610CA">
        <w:t>,</w:t>
      </w:r>
      <w:r w:rsidR="00C24306">
        <w:t xml:space="preserve"> a renowned </w:t>
      </w:r>
      <w:r w:rsidR="00765718">
        <w:t xml:space="preserve">journal in the field of CE. This </w:t>
      </w:r>
      <w:r w:rsidR="009410B2">
        <w:t xml:space="preserve">benefits intern resumes, the </w:t>
      </w:r>
      <w:r w:rsidR="00004D67">
        <w:t>program,</w:t>
      </w:r>
      <w:r w:rsidR="009410B2">
        <w:t xml:space="preserve"> and the hospital</w:t>
      </w:r>
      <w:r w:rsidR="00982154">
        <w:t>.</w:t>
      </w:r>
    </w:p>
    <w:p w14:paraId="68CFE029" w14:textId="3AB27D6C" w:rsidR="00F615CD" w:rsidRDefault="003A1BBB" w:rsidP="00C2478A">
      <w:pPr>
        <w:pStyle w:val="Heading2"/>
        <w:ind w:left="0"/>
      </w:pPr>
      <w:r>
        <w:t xml:space="preserve">Post Graduate </w:t>
      </w:r>
      <w:r w:rsidR="004716FD">
        <w:t>Alumni Leadership</w:t>
      </w:r>
    </w:p>
    <w:p w14:paraId="6089AF3C" w14:textId="739177BD" w:rsidR="0045463B" w:rsidRDefault="0045463B" w:rsidP="0045463B">
      <w:r w:rsidRPr="0045463B">
        <w:t>Th</w:t>
      </w:r>
      <w:r w:rsidR="00D44568">
        <w:t>e OCIBME CE</w:t>
      </w:r>
      <w:r w:rsidR="0019480F">
        <w:t>C</w:t>
      </w:r>
      <w:r w:rsidRPr="0045463B">
        <w:t xml:space="preserve"> has built a strong alumni network</w:t>
      </w:r>
      <w:r w:rsidR="004E486E">
        <w:t xml:space="preserve"> </w:t>
      </w:r>
      <w:r w:rsidR="00551DC2">
        <w:t>and support network is a short time</w:t>
      </w:r>
      <w:r w:rsidR="004E486E">
        <w:t>. M</w:t>
      </w:r>
      <w:r w:rsidRPr="0045463B">
        <w:t xml:space="preserve">ore than half of </w:t>
      </w:r>
      <w:r w:rsidR="00CD5A54">
        <w:t xml:space="preserve">our graduating students </w:t>
      </w:r>
      <w:r w:rsidRPr="0045463B">
        <w:t xml:space="preserve">have </w:t>
      </w:r>
      <w:r w:rsidR="00CD5A54">
        <w:t xml:space="preserve">obtained </w:t>
      </w:r>
      <w:r w:rsidRPr="0045463B">
        <w:t xml:space="preserve">in-hospital </w:t>
      </w:r>
      <w:r w:rsidR="00123A48" w:rsidRPr="0045463B">
        <w:t xml:space="preserve">clinical engineer </w:t>
      </w:r>
      <w:r w:rsidR="006446E8">
        <w:t>jobs</w:t>
      </w:r>
      <w:r w:rsidRPr="0045463B">
        <w:t xml:space="preserve">, and one has used </w:t>
      </w:r>
      <w:r w:rsidR="002C5C41">
        <w:t xml:space="preserve">this </w:t>
      </w:r>
      <w:r w:rsidRPr="0045463B">
        <w:t>as a steppingstone into medical school</w:t>
      </w:r>
      <w:r w:rsidR="00123A48">
        <w:t xml:space="preserve">. Our graduates </w:t>
      </w:r>
      <w:r w:rsidR="00CB3CFC">
        <w:t>are associated with the following organizations</w:t>
      </w:r>
      <w:r w:rsidR="00F84A2F">
        <w:t>:</w:t>
      </w:r>
    </w:p>
    <w:p w14:paraId="25EAE8A3" w14:textId="289E568B" w:rsidR="009C4E5D" w:rsidRPr="00F84A2F" w:rsidRDefault="009C4E5D" w:rsidP="00F84A2F">
      <w:pPr>
        <w:pStyle w:val="itemize"/>
        <w:numPr>
          <w:ilvl w:val="0"/>
          <w:numId w:val="5"/>
        </w:numPr>
        <w:rPr>
          <w:lang w:val="en-US"/>
        </w:rPr>
      </w:pPr>
      <w:r w:rsidRPr="00F84A2F">
        <w:rPr>
          <w:lang w:val="en-US"/>
        </w:rPr>
        <w:t>Mass Gen</w:t>
      </w:r>
      <w:r w:rsidR="00F84A2F" w:rsidRPr="00F84A2F">
        <w:rPr>
          <w:lang w:val="en-US"/>
        </w:rPr>
        <w:t xml:space="preserve">eral </w:t>
      </w:r>
      <w:r w:rsidR="00B34304">
        <w:rPr>
          <w:lang w:val="en-US"/>
        </w:rPr>
        <w:t>Brigham</w:t>
      </w:r>
      <w:r w:rsidR="00F84A2F" w:rsidRPr="00F84A2F">
        <w:rPr>
          <w:lang w:val="en-US"/>
        </w:rPr>
        <w:t xml:space="preserve">, </w:t>
      </w:r>
      <w:r w:rsidR="00911180">
        <w:rPr>
          <w:lang w:val="en-US"/>
        </w:rPr>
        <w:t>Boston, MA</w:t>
      </w:r>
    </w:p>
    <w:p w14:paraId="71DC5741" w14:textId="25057D14" w:rsidR="009C4E5D" w:rsidRPr="00F84A2F" w:rsidRDefault="00F84A2F" w:rsidP="00F84A2F">
      <w:pPr>
        <w:pStyle w:val="itemize"/>
        <w:numPr>
          <w:ilvl w:val="0"/>
          <w:numId w:val="5"/>
        </w:numPr>
        <w:rPr>
          <w:lang w:val="en-US"/>
        </w:rPr>
      </w:pPr>
      <w:r w:rsidRPr="00F84A2F">
        <w:rPr>
          <w:lang w:val="en-US"/>
        </w:rPr>
        <w:t>CHEO, Ottawa</w:t>
      </w:r>
      <w:r w:rsidR="00911180">
        <w:rPr>
          <w:lang w:val="en-US"/>
        </w:rPr>
        <w:t>, ON</w:t>
      </w:r>
    </w:p>
    <w:p w14:paraId="2C1684C5" w14:textId="47F9532A" w:rsidR="009C4E5D" w:rsidRPr="00F84A2F" w:rsidRDefault="00911180" w:rsidP="00F84A2F">
      <w:pPr>
        <w:pStyle w:val="itemize"/>
        <w:numPr>
          <w:ilvl w:val="0"/>
          <w:numId w:val="5"/>
        </w:numPr>
        <w:rPr>
          <w:lang w:val="en-US"/>
        </w:rPr>
      </w:pPr>
      <w:r>
        <w:rPr>
          <w:lang w:val="en-US"/>
        </w:rPr>
        <w:t>McGill Medical School, Montreal, QC</w:t>
      </w:r>
    </w:p>
    <w:p w14:paraId="4397F152" w14:textId="0ED6EB12" w:rsidR="009C4E5D" w:rsidRDefault="009C4E5D" w:rsidP="00F84A2F">
      <w:pPr>
        <w:pStyle w:val="itemize"/>
        <w:numPr>
          <w:ilvl w:val="0"/>
          <w:numId w:val="5"/>
        </w:numPr>
        <w:rPr>
          <w:lang w:val="en-US"/>
        </w:rPr>
      </w:pPr>
      <w:r w:rsidRPr="00F84A2F">
        <w:rPr>
          <w:lang w:val="en-US"/>
        </w:rPr>
        <w:t>Sick Kids</w:t>
      </w:r>
      <w:r w:rsidR="00F84A2F">
        <w:rPr>
          <w:lang w:val="en-US"/>
        </w:rPr>
        <w:t xml:space="preserve"> Hospita</w:t>
      </w:r>
      <w:r w:rsidR="00911180">
        <w:rPr>
          <w:lang w:val="en-US"/>
        </w:rPr>
        <w:t>l, Toronto, ON</w:t>
      </w:r>
    </w:p>
    <w:p w14:paraId="41D35C9D" w14:textId="5AE7560E" w:rsidR="00AF14B2" w:rsidRPr="00F84A2F" w:rsidRDefault="00AF14B2" w:rsidP="00F84A2F">
      <w:pPr>
        <w:pStyle w:val="itemize"/>
        <w:numPr>
          <w:ilvl w:val="0"/>
          <w:numId w:val="5"/>
        </w:numPr>
        <w:rPr>
          <w:lang w:val="en-US"/>
        </w:rPr>
      </w:pPr>
      <w:r>
        <w:rPr>
          <w:lang w:val="en-US"/>
        </w:rPr>
        <w:t>University Health Network, Toronto, ON</w:t>
      </w:r>
    </w:p>
    <w:p w14:paraId="2BBB0606" w14:textId="3A4691CC" w:rsidR="00702083" w:rsidRDefault="00702083" w:rsidP="00F615CD">
      <w:pPr>
        <w:pStyle w:val="heading10"/>
        <w:rPr>
          <w:rStyle w:val="AbsatzNormal"/>
        </w:rPr>
      </w:pPr>
      <w:r w:rsidRPr="005B4ECD">
        <w:rPr>
          <w:rStyle w:val="AbsatzNormal"/>
          <w:sz w:val="24"/>
          <w:szCs w:val="24"/>
        </w:rPr>
        <w:t>C</w:t>
      </w:r>
      <w:r>
        <w:rPr>
          <w:rStyle w:val="AbsatzNormal"/>
        </w:rPr>
        <w:t>ONCLUSIONS</w:t>
      </w:r>
    </w:p>
    <w:p w14:paraId="40E2DC1C" w14:textId="138BD7FB" w:rsidR="00702083" w:rsidRDefault="0077234D">
      <w:r w:rsidRPr="00554F4C">
        <w:t xml:space="preserve">The Ottawa Carleton Institute for Biomedical </w:t>
      </w:r>
      <w:r w:rsidR="00EB0AC8" w:rsidRPr="00554F4C">
        <w:t>Engineering</w:t>
      </w:r>
      <w:r w:rsidRPr="00554F4C">
        <w:t xml:space="preserve"> created a Master of Engineering (M.Eng.) with a specialty in Clinical Engineering a decade ago. The authors have described </w:t>
      </w:r>
      <w:r w:rsidR="00D13E8C" w:rsidRPr="00554F4C">
        <w:t xml:space="preserve">the Clinical Engineering Internship of the graduate work. </w:t>
      </w:r>
      <w:r w:rsidR="00AC066F" w:rsidRPr="00554F4C">
        <w:t>A summary of the goals, a</w:t>
      </w:r>
      <w:r w:rsidR="00D13E8C" w:rsidRPr="00554F4C">
        <w:t xml:space="preserve"> formalized guideline</w:t>
      </w:r>
      <w:r w:rsidR="00AC066F" w:rsidRPr="00554F4C">
        <w:t xml:space="preserve">, tutorial series and recent </w:t>
      </w:r>
      <w:r w:rsidR="00EB0AC8" w:rsidRPr="00554F4C">
        <w:t>successes</w:t>
      </w:r>
      <w:r w:rsidR="00AC066F" w:rsidRPr="00554F4C">
        <w:t xml:space="preserve"> of the interns have been presented herein. 2024 will mark th</w:t>
      </w:r>
      <w:r w:rsidR="00F32635" w:rsidRPr="00554F4C">
        <w:t>e expansion of the program</w:t>
      </w:r>
      <w:r w:rsidR="004C6F3B" w:rsidRPr="00554F4C">
        <w:t xml:space="preserve"> to provide a 4</w:t>
      </w:r>
      <w:r w:rsidR="004C6F3B" w:rsidRPr="00554F4C">
        <w:rPr>
          <w:vertAlign w:val="superscript"/>
        </w:rPr>
        <w:t>th</w:t>
      </w:r>
      <w:r w:rsidR="004C6F3B" w:rsidRPr="00554F4C">
        <w:t xml:space="preserve"> host at</w:t>
      </w:r>
      <w:r w:rsidR="00F32635" w:rsidRPr="00554F4C">
        <w:t xml:space="preserve"> the University Health Network </w:t>
      </w:r>
      <w:r w:rsidR="004C6F3B" w:rsidRPr="00554F4C">
        <w:t xml:space="preserve">and enabling an additional </w:t>
      </w:r>
      <w:r w:rsidR="001F0DA4">
        <w:t>I</w:t>
      </w:r>
      <w:r w:rsidR="00554F4C" w:rsidRPr="00554F4C">
        <w:t>nternship.</w:t>
      </w:r>
    </w:p>
    <w:p w14:paraId="3A6FE93D" w14:textId="04B5FAAF" w:rsidR="00C93629" w:rsidRDefault="00C93629" w:rsidP="00C93629">
      <w:pPr>
        <w:pStyle w:val="heading1withoutNr"/>
        <w:rPr>
          <w:rStyle w:val="AbsatzNormal"/>
        </w:rPr>
      </w:pPr>
      <w:r>
        <w:rPr>
          <w:rStyle w:val="initial12"/>
        </w:rPr>
        <w:t>A</w:t>
      </w:r>
      <w:r>
        <w:rPr>
          <w:rStyle w:val="AbsatzNormal"/>
        </w:rPr>
        <w:t>CKNOWLEDGMENT</w:t>
      </w:r>
      <w:r w:rsidR="00C729F9">
        <w:rPr>
          <w:rStyle w:val="AbsatzNormal"/>
        </w:rPr>
        <w:t>s</w:t>
      </w:r>
    </w:p>
    <w:p w14:paraId="72539296" w14:textId="3D5AA118" w:rsidR="00C93629" w:rsidRDefault="003123DE" w:rsidP="00C93629">
      <w:pPr>
        <w:rPr>
          <w:lang w:val="en-GB"/>
        </w:rPr>
      </w:pPr>
      <w:r>
        <w:t xml:space="preserve">The authors would like to acknowledge the other </w:t>
      </w:r>
      <w:r w:rsidR="00EB4860">
        <w:t xml:space="preserve">supporters, </w:t>
      </w:r>
      <w:r w:rsidR="008B56AF">
        <w:t>supervisors</w:t>
      </w:r>
      <w:r>
        <w:t xml:space="preserve">, </w:t>
      </w:r>
      <w:r w:rsidR="00681DA7">
        <w:t>mentors,</w:t>
      </w:r>
      <w:r>
        <w:t xml:space="preserve"> and professors that support the </w:t>
      </w:r>
      <w:r w:rsidR="001F0DA4">
        <w:t>I</w:t>
      </w:r>
      <w:r>
        <w:t>nternship, namely: Kim Greenwood</w:t>
      </w:r>
      <w:r w:rsidR="008B56AF">
        <w:t xml:space="preserve"> (CHEO)</w:t>
      </w:r>
      <w:r>
        <w:t>, Timothy Zakutney</w:t>
      </w:r>
      <w:r w:rsidR="008B56AF">
        <w:t xml:space="preserve"> </w:t>
      </w:r>
      <w:r w:rsidR="00532406">
        <w:t>and</w:t>
      </w:r>
      <w:r w:rsidR="00EB4860">
        <w:t xml:space="preserve"> Stephanie Liddle (U</w:t>
      </w:r>
      <w:r w:rsidR="00B02FEC">
        <w:t>OHI</w:t>
      </w:r>
      <w:r w:rsidR="00EB4860">
        <w:t>),</w:t>
      </w:r>
      <w:r>
        <w:t xml:space="preserve"> Joël Brose</w:t>
      </w:r>
      <w:r w:rsidR="008B56AF">
        <w:t xml:space="preserve"> </w:t>
      </w:r>
      <w:r w:rsidR="00532406">
        <w:t xml:space="preserve">and </w:t>
      </w:r>
      <w:r w:rsidR="00C729B2">
        <w:t>Marc Heroux (T</w:t>
      </w:r>
      <w:r w:rsidR="00B02FEC">
        <w:t>OH</w:t>
      </w:r>
      <w:r w:rsidR="00C729B2">
        <w:t>),</w:t>
      </w:r>
      <w:r w:rsidR="0045463B">
        <w:t xml:space="preserve"> Devika</w:t>
      </w:r>
      <w:r w:rsidR="00635974">
        <w:t xml:space="preserve"> Jain</w:t>
      </w:r>
      <w:r w:rsidR="00CF25F1">
        <w:t xml:space="preserve"> (UHN)</w:t>
      </w:r>
      <w:r w:rsidR="00635974">
        <w:t>,</w:t>
      </w:r>
      <w:r>
        <w:t xml:space="preserve"> </w:t>
      </w:r>
      <w:r w:rsidR="008B56AF">
        <w:t xml:space="preserve">Dr. </w:t>
      </w:r>
      <w:r>
        <w:t xml:space="preserve">Fabio Variola </w:t>
      </w:r>
      <w:r w:rsidR="008B56AF">
        <w:t xml:space="preserve">(uOttawa) </w:t>
      </w:r>
      <w:r>
        <w:t xml:space="preserve">and </w:t>
      </w:r>
      <w:r w:rsidR="0023598C">
        <w:t xml:space="preserve">Dr. </w:t>
      </w:r>
      <w:r>
        <w:t>Yuu Ono</w:t>
      </w:r>
      <w:r w:rsidR="008B56AF">
        <w:t xml:space="preserve"> (Carleton)</w:t>
      </w:r>
      <w:r w:rsidR="00C93629">
        <w:rPr>
          <w:lang w:val="en-GB"/>
        </w:rPr>
        <w:t>.</w:t>
      </w:r>
    </w:p>
    <w:p w14:paraId="0B2B84FF" w14:textId="77777777" w:rsidR="00702083" w:rsidRPr="00C93629" w:rsidRDefault="00C235ED">
      <w:pPr>
        <w:pStyle w:val="heading1withoutNr"/>
        <w:rPr>
          <w:rStyle w:val="AbsatzNormal"/>
        </w:rPr>
      </w:pPr>
      <w:r>
        <w:rPr>
          <w:rStyle w:val="initial12"/>
        </w:rPr>
        <w:t>C</w:t>
      </w:r>
      <w:r w:rsidR="00C93629" w:rsidRPr="00C93629">
        <w:rPr>
          <w:rStyle w:val="initial12"/>
          <w:sz w:val="16"/>
          <w:szCs w:val="16"/>
        </w:rPr>
        <w:t>onflict</w:t>
      </w:r>
      <w:r>
        <w:rPr>
          <w:rStyle w:val="initial12"/>
          <w:sz w:val="16"/>
          <w:szCs w:val="16"/>
        </w:rPr>
        <w:t xml:space="preserve"> of </w:t>
      </w:r>
      <w:r>
        <w:rPr>
          <w:rStyle w:val="initial12"/>
        </w:rPr>
        <w:t>I</w:t>
      </w:r>
      <w:r w:rsidR="00C93629">
        <w:rPr>
          <w:rStyle w:val="initial12"/>
          <w:sz w:val="16"/>
          <w:szCs w:val="16"/>
        </w:rPr>
        <w:t>nterest</w:t>
      </w:r>
    </w:p>
    <w:p w14:paraId="1F99F1E5" w14:textId="54F1D37A" w:rsidR="00702083" w:rsidRDefault="00C93629">
      <w:r w:rsidRPr="003A1BBB">
        <w:t>The authors declare that they have no conflict of interest.</w:t>
      </w:r>
    </w:p>
    <w:p w14:paraId="3FDF8DC7" w14:textId="63C55900" w:rsidR="00702083" w:rsidRDefault="00702083">
      <w:pPr>
        <w:pStyle w:val="heading1withoutNr"/>
        <w:rPr>
          <w:rStyle w:val="AbsatzNormal"/>
        </w:rPr>
      </w:pPr>
      <w:r>
        <w:rPr>
          <w:rStyle w:val="initial12"/>
        </w:rPr>
        <w:t>R</w:t>
      </w:r>
      <w:r>
        <w:rPr>
          <w:rStyle w:val="AbsatzNormal"/>
        </w:rPr>
        <w:t>EFERENCES</w:t>
      </w:r>
    </w:p>
    <w:p w14:paraId="3FD9D95E" w14:textId="583B6C10" w:rsidR="00485A46" w:rsidRPr="00D13713" w:rsidRDefault="00485A46" w:rsidP="00A43D7D">
      <w:pPr>
        <w:pStyle w:val="referenceItem"/>
        <w:numPr>
          <w:ilvl w:val="0"/>
          <w:numId w:val="4"/>
        </w:numPr>
        <w:rPr>
          <w:rStyle w:val="Hyperlink"/>
        </w:rPr>
      </w:pPr>
      <w:r w:rsidRPr="00D13713">
        <w:rPr>
          <w:rStyle w:val="Hyperlink"/>
        </w:rPr>
        <w:t xml:space="preserve">M. G. Ridgway, “The great 1970s debate on electrical safety-In retrospect,” </w:t>
      </w:r>
      <w:r w:rsidRPr="00D13713">
        <w:rPr>
          <w:rStyle w:val="Hyperlink"/>
          <w:i/>
          <w:iCs/>
        </w:rPr>
        <w:t>Clinical Engineering Handbook</w:t>
      </w:r>
      <w:r w:rsidRPr="00D13713">
        <w:rPr>
          <w:rStyle w:val="Hyperlink"/>
        </w:rPr>
        <w:t>, pp. 373–376, 2020.</w:t>
      </w:r>
    </w:p>
    <w:p w14:paraId="16A5E129" w14:textId="02FC3978" w:rsidR="00596033" w:rsidRPr="00D13713" w:rsidRDefault="00596033" w:rsidP="00596033">
      <w:pPr>
        <w:pStyle w:val="referenceItem"/>
        <w:numPr>
          <w:ilvl w:val="0"/>
          <w:numId w:val="4"/>
        </w:numPr>
        <w:rPr>
          <w:rStyle w:val="Hyperlink"/>
        </w:rPr>
      </w:pPr>
      <w:r w:rsidRPr="00D13713">
        <w:rPr>
          <w:rStyle w:val="Hyperlink"/>
        </w:rPr>
        <w:t xml:space="preserve">“Clinical Engineer,” </w:t>
      </w:r>
      <w:r w:rsidRPr="00D13713">
        <w:rPr>
          <w:rStyle w:val="Hyperlink"/>
          <w:i/>
          <w:iCs/>
        </w:rPr>
        <w:t>Accenet.org</w:t>
      </w:r>
      <w:r w:rsidRPr="00D13713">
        <w:rPr>
          <w:rStyle w:val="Hyperlink"/>
        </w:rPr>
        <w:t>. [Online]. Available: https://accenet.org/about/Pages/ClinicalEngineer.aspx. [Accessed: 11-Jan-2024].</w:t>
      </w:r>
    </w:p>
    <w:p w14:paraId="6B2F4CEC" w14:textId="77777777" w:rsidR="0024302E" w:rsidRPr="00D13713" w:rsidRDefault="0024302E" w:rsidP="0024302E">
      <w:pPr>
        <w:pStyle w:val="referenceItem"/>
        <w:numPr>
          <w:ilvl w:val="0"/>
          <w:numId w:val="4"/>
        </w:numPr>
      </w:pPr>
      <w:r w:rsidRPr="005B123C">
        <w:lastRenderedPageBreak/>
        <w:t>M. D. Schwartz, “The emerging field of clinical engineering and its accomplishments,”</w:t>
      </w:r>
      <w:r w:rsidRPr="00D13713">
        <w:t xml:space="preserve"> </w:t>
      </w:r>
      <w:r w:rsidRPr="005B123C">
        <w:rPr>
          <w:i/>
          <w:iCs/>
        </w:rPr>
        <w:t>IEEE Trans. Biomed. Eng.</w:t>
      </w:r>
      <w:r w:rsidRPr="005B123C">
        <w:t>, vol. BME-31, no. 12, pp. 743–748, 1984.</w:t>
      </w:r>
      <w:r w:rsidRPr="00D13713">
        <w:t xml:space="preserve"> 10.1109/TBME.1984.325233</w:t>
      </w:r>
    </w:p>
    <w:p w14:paraId="6D4A53CE" w14:textId="77777777" w:rsidR="0024302E" w:rsidRPr="00D13713" w:rsidRDefault="0024302E" w:rsidP="0024302E">
      <w:pPr>
        <w:pStyle w:val="referenceItem"/>
        <w:numPr>
          <w:ilvl w:val="0"/>
          <w:numId w:val="4"/>
        </w:numPr>
        <w:rPr>
          <w:rStyle w:val="Hyperlink"/>
        </w:rPr>
      </w:pPr>
      <w:r w:rsidRPr="00D13713">
        <w:rPr>
          <w:rStyle w:val="Hyperlink"/>
        </w:rPr>
        <w:t xml:space="preserve">V. Chaugai, T. Zakutney, A. D. Chan, and A. Adler, “Academic Programs in Clinical Engineering in Canada”,” </w:t>
      </w:r>
      <w:r w:rsidRPr="00D13713">
        <w:rPr>
          <w:rStyle w:val="Hyperlink"/>
          <w:i/>
          <w:iCs/>
        </w:rPr>
        <w:t>CMBES Proc</w:t>
      </w:r>
      <w:r w:rsidRPr="00D13713">
        <w:rPr>
          <w:rStyle w:val="Hyperlink"/>
        </w:rPr>
        <w:t>, vol. 36, no. 1, 2013.</w:t>
      </w:r>
    </w:p>
    <w:p w14:paraId="5CAC8943" w14:textId="3645FF73" w:rsidR="001A4815" w:rsidRPr="00D13713" w:rsidRDefault="001A4815" w:rsidP="00992A37">
      <w:pPr>
        <w:pStyle w:val="referenceItem"/>
        <w:numPr>
          <w:ilvl w:val="0"/>
          <w:numId w:val="4"/>
        </w:numPr>
        <w:rPr>
          <w:rStyle w:val="Hyperlink"/>
        </w:rPr>
      </w:pPr>
      <w:r w:rsidRPr="00D13713">
        <w:rPr>
          <w:rStyle w:val="Hyperlink"/>
        </w:rPr>
        <w:t xml:space="preserve">“Ottawa-Carleton institute for biomedical engineering,” </w:t>
      </w:r>
      <w:r w:rsidRPr="00D13713">
        <w:rPr>
          <w:rStyle w:val="Hyperlink"/>
          <w:i/>
          <w:iCs/>
        </w:rPr>
        <w:t>Carleton.ca</w:t>
      </w:r>
      <w:r w:rsidRPr="00D13713">
        <w:rPr>
          <w:rStyle w:val="Hyperlink"/>
        </w:rPr>
        <w:t>. [Online]. Available: https://www.sce.carleton.ca/ocibme/. [Accessed: 11-Jan-2024].</w:t>
      </w:r>
    </w:p>
    <w:p w14:paraId="15632C80" w14:textId="38CF7AC5" w:rsidR="00156502" w:rsidRPr="00D13713" w:rsidRDefault="00156502" w:rsidP="008817A7">
      <w:pPr>
        <w:pStyle w:val="referenceItem"/>
        <w:numPr>
          <w:ilvl w:val="0"/>
          <w:numId w:val="4"/>
        </w:numPr>
      </w:pPr>
      <w:r w:rsidRPr="00D13713">
        <w:t xml:space="preserve">“Biomedical engineering: Clinical engineering MHSc,” </w:t>
      </w:r>
      <w:r w:rsidRPr="00D13713">
        <w:rPr>
          <w:i/>
          <w:iCs/>
        </w:rPr>
        <w:t>Utoronto.ca</w:t>
      </w:r>
      <w:r w:rsidRPr="00D13713">
        <w:t xml:space="preserve">. [Online]. </w:t>
      </w:r>
      <w:r w:rsidRPr="00E32104">
        <w:rPr>
          <w:lang w:val="fr-CA"/>
        </w:rPr>
        <w:t xml:space="preserve">Available: https://sgs.calendar.utoronto.ca/biomedical-engineering-clinical-engineering-mhsc. </w:t>
      </w:r>
      <w:r w:rsidRPr="00D13713">
        <w:t>[Accessed: 11-Jan-2024].</w:t>
      </w:r>
    </w:p>
    <w:p w14:paraId="6E1BB276" w14:textId="0A4C2A43" w:rsidR="008B3ABA" w:rsidRPr="00D13713" w:rsidRDefault="008B3ABA" w:rsidP="008817A7">
      <w:pPr>
        <w:pStyle w:val="referenceItem"/>
        <w:numPr>
          <w:ilvl w:val="0"/>
          <w:numId w:val="4"/>
        </w:numPr>
      </w:pPr>
      <w:r w:rsidRPr="00D13713">
        <w:rPr>
          <w:lang w:val="fr-CA"/>
        </w:rPr>
        <w:t>“Maîtrise option génie clinique,”</w:t>
      </w:r>
      <w:r w:rsidR="007E74BD" w:rsidRPr="00D13713">
        <w:rPr>
          <w:lang w:val="fr-CA"/>
        </w:rPr>
        <w:t xml:space="preserve"> </w:t>
      </w:r>
      <w:r w:rsidRPr="00D13713">
        <w:rPr>
          <w:i/>
          <w:iCs/>
          <w:lang w:val="fr-CA"/>
        </w:rPr>
        <w:t>Institut de génie biomédical</w:t>
      </w:r>
      <w:r w:rsidRPr="00D13713">
        <w:rPr>
          <w:lang w:val="fr-CA"/>
        </w:rPr>
        <w:t xml:space="preserve">, 02-Apr-2021. </w:t>
      </w:r>
      <w:r w:rsidRPr="00D13713">
        <w:t>[Online]. Available: https://igb.umontreal.ca/etudes/programmes-en-genie-biomedical/maitrise-option-genie-clinique/. [Accessed: 11-Jan-2024].</w:t>
      </w:r>
    </w:p>
    <w:p w14:paraId="724AE62A" w14:textId="77777777" w:rsidR="006162C9" w:rsidRPr="00D13713" w:rsidRDefault="006162C9" w:rsidP="006162C9">
      <w:pPr>
        <w:pStyle w:val="referenceItem"/>
        <w:numPr>
          <w:ilvl w:val="0"/>
          <w:numId w:val="4"/>
        </w:numPr>
      </w:pPr>
      <w:r w:rsidRPr="005B123C">
        <w:t>J. D. Bronzino, “Clinical engineering internships: a regional hospital-based approach,”</w:t>
      </w:r>
      <w:r w:rsidRPr="00D13713">
        <w:t xml:space="preserve"> </w:t>
      </w:r>
      <w:r w:rsidRPr="005B123C">
        <w:rPr>
          <w:i/>
          <w:iCs/>
        </w:rPr>
        <w:t>J</w:t>
      </w:r>
      <w:r w:rsidRPr="00D13713">
        <w:rPr>
          <w:i/>
          <w:iCs/>
        </w:rPr>
        <w:t>.</w:t>
      </w:r>
      <w:r w:rsidRPr="005B123C">
        <w:rPr>
          <w:i/>
          <w:iCs/>
        </w:rPr>
        <w:t xml:space="preserve"> Clin</w:t>
      </w:r>
      <w:r w:rsidRPr="00D13713">
        <w:rPr>
          <w:i/>
          <w:iCs/>
        </w:rPr>
        <w:t>.</w:t>
      </w:r>
      <w:r w:rsidRPr="005B123C">
        <w:rPr>
          <w:i/>
          <w:iCs/>
        </w:rPr>
        <w:t xml:space="preserve"> Eng</w:t>
      </w:r>
      <w:r w:rsidRPr="00D13713">
        <w:rPr>
          <w:i/>
          <w:iCs/>
        </w:rPr>
        <w:t>.</w:t>
      </w:r>
      <w:r w:rsidRPr="005B123C">
        <w:t>, vol. 10, no. 3, pp. 235–239, 1985.</w:t>
      </w:r>
    </w:p>
    <w:p w14:paraId="601DC2BD" w14:textId="77777777" w:rsidR="00A45135" w:rsidRPr="00D13713" w:rsidRDefault="00A45135" w:rsidP="00A45135">
      <w:pPr>
        <w:pStyle w:val="referenceItem"/>
        <w:numPr>
          <w:ilvl w:val="0"/>
          <w:numId w:val="4"/>
        </w:numPr>
      </w:pPr>
      <w:r w:rsidRPr="005B123C">
        <w:t>J. D. Bronzino, “Clinical engineering education: the internship approach,” in</w:t>
      </w:r>
      <w:r w:rsidRPr="00D13713">
        <w:t xml:space="preserve"> </w:t>
      </w:r>
      <w:r w:rsidRPr="005B123C">
        <w:rPr>
          <w:i/>
          <w:iCs/>
        </w:rPr>
        <w:t>Images of the Twenty-First Century. Proceedings of the Annual International Engineering in Medicine and Biology Society</w:t>
      </w:r>
      <w:r w:rsidRPr="005B123C">
        <w:t>, 2003.</w:t>
      </w:r>
      <w:r w:rsidRPr="00D13713">
        <w:t xml:space="preserve"> doi: 10.1109/IEMBS.1989.96369.</w:t>
      </w:r>
    </w:p>
    <w:p w14:paraId="4CB5A965" w14:textId="77777777" w:rsidR="00A45135" w:rsidRPr="00D13713" w:rsidRDefault="00A45135" w:rsidP="00A45135">
      <w:pPr>
        <w:pStyle w:val="referenceItem"/>
        <w:numPr>
          <w:ilvl w:val="0"/>
          <w:numId w:val="4"/>
        </w:numPr>
      </w:pPr>
      <w:r w:rsidRPr="005B123C">
        <w:t>A. M. Cook, L. E. Rose, and B. H. Barkalow, “Cost effective clinical engineering internships in community hospitals,”</w:t>
      </w:r>
      <w:r w:rsidRPr="00D13713">
        <w:t xml:space="preserve"> </w:t>
      </w:r>
      <w:r w:rsidRPr="005B123C">
        <w:rPr>
          <w:i/>
          <w:iCs/>
        </w:rPr>
        <w:t>J</w:t>
      </w:r>
      <w:r w:rsidRPr="00D13713">
        <w:rPr>
          <w:i/>
          <w:iCs/>
        </w:rPr>
        <w:t xml:space="preserve">. </w:t>
      </w:r>
      <w:r w:rsidRPr="005B123C">
        <w:rPr>
          <w:i/>
          <w:iCs/>
        </w:rPr>
        <w:t>Clin</w:t>
      </w:r>
      <w:r w:rsidRPr="00D13713">
        <w:rPr>
          <w:i/>
          <w:iCs/>
        </w:rPr>
        <w:t>.</w:t>
      </w:r>
      <w:r w:rsidRPr="005B123C">
        <w:rPr>
          <w:i/>
          <w:iCs/>
        </w:rPr>
        <w:t xml:space="preserve"> Eng</w:t>
      </w:r>
      <w:r w:rsidRPr="00D13713">
        <w:rPr>
          <w:i/>
          <w:iCs/>
        </w:rPr>
        <w:t>.</w:t>
      </w:r>
      <w:r w:rsidRPr="005B123C">
        <w:t>, vol. 3, no. 2, pp. 173–178, 1978.</w:t>
      </w:r>
    </w:p>
    <w:p w14:paraId="0F763FB4" w14:textId="77777777" w:rsidR="00342BFB" w:rsidRPr="00D13713" w:rsidRDefault="00342BFB" w:rsidP="00342BFB">
      <w:pPr>
        <w:pStyle w:val="referenceItem"/>
        <w:numPr>
          <w:ilvl w:val="0"/>
          <w:numId w:val="4"/>
        </w:numPr>
      </w:pPr>
      <w:r w:rsidRPr="005B123C">
        <w:t>D. J. Schneck and F. L. Brochu, “A Clinical Internship Program In Biomedical Engineering Part I: Objectives Of The Program,”</w:t>
      </w:r>
      <w:r w:rsidRPr="00D13713">
        <w:t xml:space="preserve"> </w:t>
      </w:r>
      <w:r w:rsidRPr="005B123C">
        <w:rPr>
          <w:i/>
          <w:iCs/>
        </w:rPr>
        <w:t>J. Clin. Eng.</w:t>
      </w:r>
      <w:r w:rsidRPr="005B123C">
        <w:t>, vol. 8, no. 1, pp. 51–60, 1983.</w:t>
      </w:r>
    </w:p>
    <w:p w14:paraId="4676A7EB" w14:textId="77777777" w:rsidR="00342BFB" w:rsidRPr="00D13713" w:rsidRDefault="00342BFB" w:rsidP="00342BFB">
      <w:pPr>
        <w:pStyle w:val="referenceItem"/>
        <w:numPr>
          <w:ilvl w:val="0"/>
          <w:numId w:val="4"/>
        </w:numPr>
      </w:pPr>
      <w:r w:rsidRPr="005B123C">
        <w:t>D. J. Schneck and F. L. Brochu, “A clinical internship program in biomedical engineering, Part II: Administration of the program,”</w:t>
      </w:r>
      <w:r w:rsidRPr="00D13713">
        <w:t xml:space="preserve"> </w:t>
      </w:r>
      <w:r w:rsidRPr="005B123C">
        <w:rPr>
          <w:i/>
          <w:iCs/>
        </w:rPr>
        <w:t>J. Clin. Eng.</w:t>
      </w:r>
      <w:r w:rsidRPr="005B123C">
        <w:t>, vol. 8, no. 2, pp. 123–134, 1983.</w:t>
      </w:r>
    </w:p>
    <w:p w14:paraId="56FCA1BA" w14:textId="77777777" w:rsidR="00342BFB" w:rsidRPr="00D13713" w:rsidRDefault="00342BFB" w:rsidP="00342BFB">
      <w:pPr>
        <w:pStyle w:val="referenceItem"/>
        <w:numPr>
          <w:ilvl w:val="0"/>
          <w:numId w:val="4"/>
        </w:numPr>
      </w:pPr>
      <w:r w:rsidRPr="005B123C">
        <w:t>H. R. Weed, “Clinical engineering internship at Ohio State University,”</w:t>
      </w:r>
      <w:r w:rsidRPr="00D13713">
        <w:t xml:space="preserve"> </w:t>
      </w:r>
      <w:r w:rsidRPr="005B123C">
        <w:rPr>
          <w:i/>
          <w:iCs/>
        </w:rPr>
        <w:t>J. Clin. Eng.</w:t>
      </w:r>
      <w:r w:rsidRPr="005B123C">
        <w:t>, vol. 2, no. 2, pp. 133–135, 1977.</w:t>
      </w:r>
    </w:p>
    <w:p w14:paraId="79BD37C2" w14:textId="77777777" w:rsidR="0011677A" w:rsidRPr="00D13713" w:rsidRDefault="0011677A" w:rsidP="0011677A">
      <w:pPr>
        <w:pStyle w:val="referenceItem"/>
        <w:numPr>
          <w:ilvl w:val="0"/>
          <w:numId w:val="4"/>
        </w:numPr>
      </w:pPr>
      <w:r w:rsidRPr="005B123C">
        <w:t>L. Kerr and S. Lalvani, “Development and Approval of a Master’s Program in Clinical Engineering at Miami University,”</w:t>
      </w:r>
      <w:r w:rsidRPr="00D13713">
        <w:t xml:space="preserve"> </w:t>
      </w:r>
      <w:r w:rsidRPr="005B123C">
        <w:rPr>
          <w:i/>
          <w:iCs/>
        </w:rPr>
        <w:t>J. Clin. Eng.</w:t>
      </w:r>
      <w:r w:rsidRPr="005B123C">
        <w:t>, vol. 48, no. 2, pp. 76–78, 2023.</w:t>
      </w:r>
    </w:p>
    <w:p w14:paraId="6B11062F" w14:textId="77777777" w:rsidR="0011677A" w:rsidRDefault="0011677A" w:rsidP="0011677A">
      <w:pPr>
        <w:pStyle w:val="referenceItem"/>
        <w:numPr>
          <w:ilvl w:val="0"/>
          <w:numId w:val="4"/>
        </w:numPr>
      </w:pPr>
      <w:r w:rsidRPr="005B123C">
        <w:t>E. Kwok, G. Marshall, and A. Chan, “How to prepare engineers in medicine and biology?,” in</w:t>
      </w:r>
      <w:r w:rsidRPr="00D13713">
        <w:t xml:space="preserve"> </w:t>
      </w:r>
      <w:r w:rsidRPr="005B123C">
        <w:rPr>
          <w:i/>
          <w:iCs/>
        </w:rPr>
        <w:t>2008 30th Annual International Conference of the IEEE Engineering in Medicine and Biology Society,</w:t>
      </w:r>
      <w:r w:rsidRPr="005B123C">
        <w:t xml:space="preserve"> 2008.</w:t>
      </w:r>
      <w:r w:rsidRPr="00D13713">
        <w:t xml:space="preserve"> doi: 10.1109/IEMBS.2008.4649805.</w:t>
      </w:r>
    </w:p>
    <w:p w14:paraId="00D344A4" w14:textId="77777777" w:rsidR="001D5B9C" w:rsidRPr="00D13713" w:rsidRDefault="001D5B9C" w:rsidP="001D5B9C">
      <w:pPr>
        <w:pStyle w:val="referenceItem"/>
        <w:numPr>
          <w:ilvl w:val="0"/>
          <w:numId w:val="4"/>
        </w:numPr>
        <w:rPr>
          <w:rStyle w:val="Hyperlink"/>
        </w:rPr>
      </w:pPr>
      <w:r w:rsidRPr="00D13713">
        <w:rPr>
          <w:rStyle w:val="Hyperlink"/>
        </w:rPr>
        <w:t xml:space="preserve">“Master of engineering biomedical engineering and concentration clinical engineering &lt; uOttawa,” </w:t>
      </w:r>
      <w:r w:rsidRPr="00D13713">
        <w:rPr>
          <w:rStyle w:val="Hyperlink"/>
          <w:i/>
          <w:iCs/>
        </w:rPr>
        <w:t>Uottawa.ca</w:t>
      </w:r>
      <w:r w:rsidRPr="00D13713">
        <w:rPr>
          <w:rStyle w:val="Hyperlink"/>
        </w:rPr>
        <w:t xml:space="preserve">. [Online]. </w:t>
      </w:r>
      <w:r w:rsidRPr="00E32104">
        <w:rPr>
          <w:rStyle w:val="Hyperlink"/>
          <w:lang w:val="fr-CA"/>
        </w:rPr>
        <w:t xml:space="preserve">Available: https://catalogue.uottawa.ca/en/graduate/master-engineering-biomedical-engineering-concentration-clinical-engineering/. </w:t>
      </w:r>
      <w:r w:rsidRPr="00D13713">
        <w:rPr>
          <w:rStyle w:val="Hyperlink"/>
        </w:rPr>
        <w:t>[Accessed: 11-Jan-2024].</w:t>
      </w:r>
    </w:p>
    <w:p w14:paraId="43FD0492" w14:textId="77777777" w:rsidR="001D5B9C" w:rsidRPr="00D13713" w:rsidRDefault="001D5B9C" w:rsidP="001D5B9C">
      <w:pPr>
        <w:pStyle w:val="referenceItem"/>
        <w:numPr>
          <w:ilvl w:val="0"/>
          <w:numId w:val="4"/>
        </w:numPr>
        <w:rPr>
          <w:rStyle w:val="Hyperlink"/>
        </w:rPr>
      </w:pPr>
      <w:r w:rsidRPr="00D13713">
        <w:rPr>
          <w:rStyle w:val="Hyperlink"/>
        </w:rPr>
        <w:t xml:space="preserve">“Biomedical engineering &lt; Carleton university,” </w:t>
      </w:r>
      <w:r w:rsidRPr="00D13713">
        <w:rPr>
          <w:rStyle w:val="Hyperlink"/>
          <w:i/>
          <w:iCs/>
        </w:rPr>
        <w:t>Carleton.ca</w:t>
      </w:r>
      <w:r w:rsidRPr="00D13713">
        <w:rPr>
          <w:rStyle w:val="Hyperlink"/>
        </w:rPr>
        <w:t>. [Online]. Available: https://calendar.carleton.ca/calendars/2019-2020/grad/gradprograms/biomedicalengineering/. [Accessed: 11-Jan-2024].</w:t>
      </w:r>
    </w:p>
    <w:p w14:paraId="5BCEDBA1" w14:textId="77777777" w:rsidR="00E640F0" w:rsidRPr="00E32104" w:rsidRDefault="00E640F0" w:rsidP="00E640F0">
      <w:pPr>
        <w:pStyle w:val="referenceItem"/>
        <w:numPr>
          <w:ilvl w:val="0"/>
          <w:numId w:val="4"/>
        </w:numPr>
      </w:pPr>
      <w:r w:rsidRPr="00D13713">
        <w:t xml:space="preserve">“ECOR 1055 J - BIOM A Ibey - Carleton university mediaspace,” </w:t>
      </w:r>
      <w:r w:rsidRPr="00D13713">
        <w:rPr>
          <w:i/>
          <w:iCs/>
        </w:rPr>
        <w:t>Carleton.ca</w:t>
      </w:r>
      <w:r w:rsidRPr="00D13713">
        <w:t xml:space="preserve">. [Online]. </w:t>
      </w:r>
      <w:r w:rsidRPr="00E32104">
        <w:t>Available: https://mediaspace.carleton.ca/media/A+Ibey/1_d6qqm8tk. [Accessed: 11-Jan-2024].</w:t>
      </w:r>
    </w:p>
    <w:p w14:paraId="29CC90D2" w14:textId="77777777" w:rsidR="00E640F0" w:rsidRPr="00D13713" w:rsidRDefault="00E640F0" w:rsidP="00E640F0">
      <w:pPr>
        <w:pStyle w:val="referenceItem"/>
        <w:numPr>
          <w:ilvl w:val="0"/>
          <w:numId w:val="4"/>
        </w:numPr>
      </w:pPr>
      <w:r w:rsidRPr="00D13713">
        <w:t xml:space="preserve">“ECOR 1055 J - BIOM MA-Janvier - Carleton university mediaspace,” </w:t>
      </w:r>
      <w:r w:rsidRPr="00D13713">
        <w:rPr>
          <w:i/>
          <w:iCs/>
        </w:rPr>
        <w:t>Carleton.ca</w:t>
      </w:r>
      <w:r w:rsidRPr="00D13713">
        <w:t>. [Online]. Available: https://mediaspace.carleton.ca/media/MA-J.mp4/1_xu0xbag7. [Accessed: 11-Jan-2024].</w:t>
      </w:r>
    </w:p>
    <w:p w14:paraId="27DCA042" w14:textId="77777777" w:rsidR="00E640F0" w:rsidRPr="00DE1ED7" w:rsidRDefault="00E640F0" w:rsidP="00E640F0">
      <w:pPr>
        <w:pStyle w:val="referenceItem"/>
        <w:numPr>
          <w:ilvl w:val="0"/>
          <w:numId w:val="4"/>
        </w:numPr>
      </w:pPr>
      <w:r w:rsidRPr="00D13713">
        <w:t xml:space="preserve">“ECOR 1055 J - BIOM – T. Zakutney - Carleton university mediaspace,” </w:t>
      </w:r>
      <w:r w:rsidRPr="00D13713">
        <w:rPr>
          <w:i/>
          <w:iCs/>
        </w:rPr>
        <w:t>Carleton.ca</w:t>
      </w:r>
      <w:r w:rsidRPr="00D13713">
        <w:t>. [Online]. Available: https://mediaspace.carleton.ca/media/t/1_0m889nlp. [Accessed: 11-Jan-2024].</w:t>
      </w:r>
    </w:p>
    <w:p w14:paraId="34B7CF42" w14:textId="517895DA" w:rsidR="00415445" w:rsidRPr="00E32104" w:rsidRDefault="00415445" w:rsidP="00A43D7D">
      <w:pPr>
        <w:pStyle w:val="referenceItem"/>
        <w:numPr>
          <w:ilvl w:val="0"/>
          <w:numId w:val="4"/>
        </w:numPr>
      </w:pPr>
      <w:r w:rsidRPr="00D13713">
        <w:t xml:space="preserve">“Student Paper Competition,” </w:t>
      </w:r>
      <w:r w:rsidRPr="00D13713">
        <w:rPr>
          <w:i/>
          <w:iCs/>
        </w:rPr>
        <w:t>Accenet.org</w:t>
      </w:r>
      <w:r w:rsidRPr="00D13713">
        <w:t xml:space="preserve">. [Online]. </w:t>
      </w:r>
      <w:r w:rsidRPr="00E32104">
        <w:t>Available: https://accenet.org/about/Pages/StudentPaperCompetition.aspx. [Accessed: 11-Jan-2024].</w:t>
      </w:r>
    </w:p>
    <w:p w14:paraId="150C0BC4" w14:textId="453F1362" w:rsidR="00FB10E5" w:rsidRPr="00935802" w:rsidRDefault="00FB10E5">
      <w:pPr>
        <w:rPr>
          <w:sz w:val="16"/>
          <w:szCs w:val="16"/>
        </w:rPr>
        <w:sectPr w:rsidR="00FB10E5" w:rsidRPr="00935802" w:rsidSect="008625C0">
          <w:type w:val="continuous"/>
          <w:pgSz w:w="11907" w:h="15819" w:code="218"/>
          <w:pgMar w:top="1531" w:right="936" w:bottom="2268" w:left="936" w:header="851" w:footer="964" w:gutter="0"/>
          <w:cols w:num="2" w:space="340"/>
          <w:docGrid w:linePitch="360"/>
        </w:sectPr>
      </w:pPr>
    </w:p>
    <w:p w14:paraId="0A2C247D" w14:textId="77777777" w:rsidR="00702083" w:rsidRDefault="00702083">
      <w:pPr>
        <w:pStyle w:val="End"/>
      </w:pPr>
    </w:p>
    <w:p w14:paraId="5A80916C" w14:textId="77777777" w:rsidR="00702083" w:rsidRDefault="00702083">
      <w:pPr>
        <w:pStyle w:val="End"/>
      </w:pPr>
    </w:p>
    <w:p w14:paraId="1157B70D" w14:textId="77777777" w:rsidR="00CC5963" w:rsidRDefault="00CC5963">
      <w:pPr>
        <w:pStyle w:val="End"/>
      </w:pPr>
    </w:p>
    <w:p w14:paraId="6D1626E4" w14:textId="77777777" w:rsidR="00CC5963" w:rsidRDefault="00CC5963">
      <w:pPr>
        <w:pStyle w:val="End"/>
      </w:pPr>
    </w:p>
    <w:sectPr w:rsidR="00CC5963" w:rsidSect="008625C0">
      <w:type w:val="continuous"/>
      <w:pgSz w:w="11907" w:h="15819" w:code="218"/>
      <w:pgMar w:top="1531" w:right="936" w:bottom="2268" w:left="936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B1C19" w14:textId="77777777" w:rsidR="00420A79" w:rsidRDefault="00420A79">
      <w:r>
        <w:separator/>
      </w:r>
    </w:p>
  </w:endnote>
  <w:endnote w:type="continuationSeparator" w:id="0">
    <w:p w14:paraId="03F6DFBC" w14:textId="77777777" w:rsidR="00420A79" w:rsidRDefault="00420A79">
      <w:r>
        <w:continuationSeparator/>
      </w:r>
    </w:p>
  </w:endnote>
  <w:endnote w:type="continuationNotice" w:id="1">
    <w:p w14:paraId="47C9D7CE" w14:textId="77777777" w:rsidR="00420A79" w:rsidRDefault="00420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878E4" w14:textId="40E9A149" w:rsidR="00AB6A36" w:rsidRDefault="00AB6A36" w:rsidP="00AB6A36">
    <w:pPr>
      <w:pStyle w:val="Footer"/>
      <w:ind w:right="-563"/>
      <w:jc w:val="center"/>
    </w:pPr>
    <w:r w:rsidRPr="00FD2567">
      <w:t xml:space="preserve">The </w:t>
    </w:r>
    <w:r w:rsidR="00C64B87">
      <w:t>46</w:t>
    </w:r>
    <w:r w:rsidR="007B0E9E" w:rsidRPr="007B0E9E">
      <w:rPr>
        <w:vertAlign w:val="superscript"/>
      </w:rPr>
      <w:t>t</w:t>
    </w:r>
    <w:r w:rsidR="007B0E9E">
      <w:rPr>
        <w:vertAlign w:val="superscript"/>
      </w:rPr>
      <w:t>h</w:t>
    </w:r>
    <w:r w:rsidRPr="00FD2567">
      <w:t xml:space="preserve"> Conference of The</w:t>
    </w:r>
    <w:r w:rsidR="008625C0">
      <w:t xml:space="preserve"> </w:t>
    </w:r>
    <w:r w:rsidRPr="00FD2567">
      <w:t>Canadian Medical and Biological Engineering</w:t>
    </w:r>
    <w:r>
      <w:t xml:space="preserve"> Society</w:t>
    </w:r>
  </w:p>
  <w:p w14:paraId="0E1274E2" w14:textId="77777777" w:rsidR="007A39CF" w:rsidRPr="008625C0" w:rsidRDefault="00AB6A36" w:rsidP="00AB6A36">
    <w:pPr>
      <w:pStyle w:val="Footer"/>
      <w:ind w:right="-563"/>
      <w:jc w:val="center"/>
      <w:rPr>
        <w:lang w:val="fr-CA"/>
      </w:rPr>
    </w:pPr>
    <w:r w:rsidRPr="008625C0">
      <w:rPr>
        <w:lang w:val="fr-CA"/>
      </w:rPr>
      <w:t>La Société Canadienne de Génie Biomédical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2CF93" w14:textId="2EC222D8" w:rsidR="008625C0" w:rsidRDefault="00AB6A36" w:rsidP="00AB6A36">
    <w:pPr>
      <w:pStyle w:val="Footer"/>
      <w:ind w:right="-563"/>
      <w:jc w:val="center"/>
    </w:pPr>
    <w:r w:rsidRPr="00FD2567">
      <w:t>The 4</w:t>
    </w:r>
    <w:r w:rsidR="00BA408D">
      <w:t>6</w:t>
    </w:r>
    <w:r w:rsidR="007B0E9E" w:rsidRPr="007B0E9E">
      <w:rPr>
        <w:vertAlign w:val="superscript"/>
      </w:rPr>
      <w:t>th</w:t>
    </w:r>
    <w:r w:rsidRPr="00FD2567">
      <w:t xml:space="preserve"> Conference of The</w:t>
    </w:r>
    <w:r w:rsidR="008625C0">
      <w:t xml:space="preserve"> </w:t>
    </w:r>
    <w:r w:rsidRPr="00FD2567">
      <w:t>Canadian Medical and Biological Engineering</w:t>
    </w:r>
    <w:r>
      <w:t xml:space="preserve"> Society</w:t>
    </w:r>
  </w:p>
  <w:p w14:paraId="7496876B" w14:textId="40C1CFEF" w:rsidR="007A39CF" w:rsidRPr="008625C0" w:rsidRDefault="00AB6A36" w:rsidP="00AB6A36">
    <w:pPr>
      <w:pStyle w:val="Footer"/>
      <w:ind w:right="-563"/>
      <w:jc w:val="center"/>
      <w:rPr>
        <w:lang w:val="fr-CA"/>
      </w:rPr>
    </w:pPr>
    <w:r w:rsidRPr="008625C0">
      <w:rPr>
        <w:lang w:val="fr-CA"/>
      </w:rPr>
      <w:t>La Société Canadienne de Génie Biomédical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818EB" w14:textId="77777777" w:rsidR="00C64B87" w:rsidRDefault="00C64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B5565" w14:textId="77777777" w:rsidR="00420A79" w:rsidRDefault="00420A79">
      <w:pPr>
        <w:pStyle w:val="p1a"/>
      </w:pPr>
      <w:r>
        <w:separator/>
      </w:r>
    </w:p>
  </w:footnote>
  <w:footnote w:type="continuationSeparator" w:id="0">
    <w:p w14:paraId="6F5B5E21" w14:textId="77777777" w:rsidR="00420A79" w:rsidRDefault="00420A79">
      <w:r>
        <w:continuationSeparator/>
      </w:r>
    </w:p>
  </w:footnote>
  <w:footnote w:type="continuationNotice" w:id="1">
    <w:p w14:paraId="1CF8E062" w14:textId="77777777" w:rsidR="00420A79" w:rsidRDefault="00420A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475C" w14:textId="005B4D8E" w:rsidR="007A39CF" w:rsidRPr="00602C4A" w:rsidRDefault="007A39CF" w:rsidP="00602C4A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C64B8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E783A" w14:textId="3D8D5CCA" w:rsidR="007A39CF" w:rsidRDefault="00000000" w:rsidP="00602C4A">
    <w:pPr>
      <w:pStyle w:val="runningtitle"/>
    </w:pPr>
    <w:r>
      <w:rPr>
        <w:noProof/>
        <w:lang w:eastAsia="en-US"/>
      </w:rPr>
      <w:pict w14:anchorId="3A0CC8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29.05pt;height:52.85pt;mso-width-percent:0;mso-height-percent:0;mso-width-percent:0;mso-height-percent:0">
          <v:imagedata r:id="rId1" o:title="2024 CMBEC46 Toronto, ON (5 x 2 in)"/>
        </v:shape>
      </w:pict>
    </w:r>
    <w:r w:rsidR="007A39CF">
      <w:tab/>
    </w:r>
    <w:r w:rsidR="007A39CF">
      <w:fldChar w:fldCharType="begin"/>
    </w:r>
    <w:r w:rsidR="007A39CF">
      <w:instrText xml:space="preserve"> PAGE </w:instrText>
    </w:r>
    <w:r w:rsidR="007A39CF">
      <w:fldChar w:fldCharType="separate"/>
    </w:r>
    <w:r w:rsidR="00C64B87">
      <w:rPr>
        <w:noProof/>
      </w:rPr>
      <w:t>1</w:t>
    </w:r>
    <w:r w:rsidR="007A39CF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7A7DF" w14:textId="77777777" w:rsidR="00C64B87" w:rsidRDefault="00C64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CA625DC"/>
    <w:lvl w:ilvl="0">
      <w:start w:val="1"/>
      <w:numFmt w:val="bullet"/>
      <w:pStyle w:val="ListBullet3"/>
      <w:lvlText w:val=""/>
      <w:lvlJc w:val="left"/>
      <w:pPr>
        <w:tabs>
          <w:tab w:val="num" w:pos="566"/>
        </w:tabs>
        <w:ind w:left="56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F5A2E8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94729A4"/>
    <w:multiLevelType w:val="hybridMultilevel"/>
    <w:tmpl w:val="A15230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C21C7"/>
    <w:multiLevelType w:val="multilevel"/>
    <w:tmpl w:val="D5827DD4"/>
    <w:lvl w:ilvl="0">
      <w:start w:val="1"/>
      <w:numFmt w:val="upperRoman"/>
      <w:pStyle w:val="Heading1"/>
      <w:suff w:val="space"/>
      <w:lvlText w:val="%1."/>
      <w:lvlJc w:val="center"/>
      <w:pPr>
        <w:ind w:left="2070" w:firstLine="0"/>
      </w:pPr>
    </w:lvl>
    <w:lvl w:ilvl="1">
      <w:start w:val="1"/>
      <w:numFmt w:val="upperLetter"/>
      <w:pStyle w:val="Heading2"/>
      <w:suff w:val="space"/>
      <w:lvlText w:val="%2."/>
      <w:lvlJc w:val="left"/>
      <w:pPr>
        <w:ind w:left="189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4" w15:restartNumberingAfterBreak="0">
    <w:nsid w:val="0DFA7037"/>
    <w:multiLevelType w:val="hybridMultilevel"/>
    <w:tmpl w:val="5C325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835228"/>
    <w:multiLevelType w:val="hybridMultilevel"/>
    <w:tmpl w:val="215AE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B17BC8"/>
    <w:multiLevelType w:val="hybridMultilevel"/>
    <w:tmpl w:val="E61C6EC0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38DD3289"/>
    <w:multiLevelType w:val="hybridMultilevel"/>
    <w:tmpl w:val="3B92BE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377CD"/>
    <w:multiLevelType w:val="hybridMultilevel"/>
    <w:tmpl w:val="6D9A0EF4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50336B35"/>
    <w:multiLevelType w:val="hybridMultilevel"/>
    <w:tmpl w:val="F4AE3B50"/>
    <w:lvl w:ilvl="0" w:tplc="5A606BA4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0" w15:restartNumberingAfterBreak="0">
    <w:nsid w:val="540476D8"/>
    <w:multiLevelType w:val="hybridMultilevel"/>
    <w:tmpl w:val="086EC5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861135"/>
    <w:multiLevelType w:val="hybridMultilevel"/>
    <w:tmpl w:val="1A9E69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C0EC5"/>
    <w:multiLevelType w:val="hybridMultilevel"/>
    <w:tmpl w:val="19727408"/>
    <w:lvl w:ilvl="0" w:tplc="103C2208">
      <w:start w:val="12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660B05"/>
    <w:multiLevelType w:val="hybridMultilevel"/>
    <w:tmpl w:val="D4A40E5A"/>
    <w:lvl w:ilvl="0" w:tplc="CE004BE4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48969">
    <w:abstractNumId w:val="3"/>
  </w:num>
  <w:num w:numId="2" w16cid:durableId="886332235">
    <w:abstractNumId w:val="0"/>
  </w:num>
  <w:num w:numId="3" w16cid:durableId="2038699679">
    <w:abstractNumId w:val="1"/>
  </w:num>
  <w:num w:numId="4" w16cid:durableId="2103067481">
    <w:abstractNumId w:val="13"/>
  </w:num>
  <w:num w:numId="5" w16cid:durableId="1903715954">
    <w:abstractNumId w:val="11"/>
  </w:num>
  <w:num w:numId="6" w16cid:durableId="136266562">
    <w:abstractNumId w:val="2"/>
  </w:num>
  <w:num w:numId="7" w16cid:durableId="1422069861">
    <w:abstractNumId w:val="9"/>
  </w:num>
  <w:num w:numId="8" w16cid:durableId="931939349">
    <w:abstractNumId w:val="6"/>
  </w:num>
  <w:num w:numId="9" w16cid:durableId="1648974291">
    <w:abstractNumId w:val="8"/>
  </w:num>
  <w:num w:numId="10" w16cid:durableId="1019355606">
    <w:abstractNumId w:val="7"/>
  </w:num>
  <w:num w:numId="11" w16cid:durableId="2107917009">
    <w:abstractNumId w:val="3"/>
  </w:num>
  <w:num w:numId="12" w16cid:durableId="207375793">
    <w:abstractNumId w:val="10"/>
  </w:num>
  <w:num w:numId="13" w16cid:durableId="1428229677">
    <w:abstractNumId w:val="4"/>
  </w:num>
  <w:num w:numId="14" w16cid:durableId="1740977289">
    <w:abstractNumId w:val="5"/>
  </w:num>
  <w:num w:numId="15" w16cid:durableId="756560665">
    <w:abstractNumId w:val="12"/>
  </w:num>
  <w:num w:numId="16" w16cid:durableId="188968430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MX" w:vendorID="64" w:dllVersion="0" w:nlCheck="1" w:checkStyle="0"/>
  <w:activeWritingStyle w:appName="MSWord" w:lang="fr-CA" w:vendorID="64" w:dllVersion="0" w:nlCheck="1" w:checkStyle="0"/>
  <w:activeWritingStyle w:appName="MSWord" w:lang="fr-CA" w:vendorID="64" w:dllVersion="6" w:nlCheck="1" w:checkStyle="0"/>
  <w:activeWritingStyle w:appName="MSWord" w:lang="en-CA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3"/>
  <w:hyphenationZone w:val="425"/>
  <w:doNotHyphenateCaps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-tex_version" w:val="2009_1"/>
    <w:docVar w:name="template_creator" w:val="Thomas.Heinrich@le-tex.de_x000d__x000a_"/>
  </w:docVars>
  <w:rsids>
    <w:rsidRoot w:val="003C1FD2"/>
    <w:rsid w:val="00002313"/>
    <w:rsid w:val="00004D67"/>
    <w:rsid w:val="0000588F"/>
    <w:rsid w:val="0001452A"/>
    <w:rsid w:val="00015554"/>
    <w:rsid w:val="00015643"/>
    <w:rsid w:val="00023D30"/>
    <w:rsid w:val="00025C13"/>
    <w:rsid w:val="000328EE"/>
    <w:rsid w:val="000356EC"/>
    <w:rsid w:val="00050290"/>
    <w:rsid w:val="00056761"/>
    <w:rsid w:val="00072AD7"/>
    <w:rsid w:val="00075E81"/>
    <w:rsid w:val="00076B8E"/>
    <w:rsid w:val="00077499"/>
    <w:rsid w:val="0008192B"/>
    <w:rsid w:val="00081D5C"/>
    <w:rsid w:val="00086BC3"/>
    <w:rsid w:val="00090672"/>
    <w:rsid w:val="00092B6F"/>
    <w:rsid w:val="00092C99"/>
    <w:rsid w:val="00094F09"/>
    <w:rsid w:val="00096F56"/>
    <w:rsid w:val="000A03EE"/>
    <w:rsid w:val="000A18FB"/>
    <w:rsid w:val="000A3134"/>
    <w:rsid w:val="000A381F"/>
    <w:rsid w:val="000A53AE"/>
    <w:rsid w:val="000A73ED"/>
    <w:rsid w:val="000B0A46"/>
    <w:rsid w:val="000B2910"/>
    <w:rsid w:val="000B3E2D"/>
    <w:rsid w:val="000B3EAD"/>
    <w:rsid w:val="000C113C"/>
    <w:rsid w:val="000C154E"/>
    <w:rsid w:val="000C2BCA"/>
    <w:rsid w:val="000C3DAC"/>
    <w:rsid w:val="000D72E6"/>
    <w:rsid w:val="000F11AE"/>
    <w:rsid w:val="000F6C4F"/>
    <w:rsid w:val="00101194"/>
    <w:rsid w:val="001017CB"/>
    <w:rsid w:val="0010202D"/>
    <w:rsid w:val="0010741B"/>
    <w:rsid w:val="0011422B"/>
    <w:rsid w:val="0011677A"/>
    <w:rsid w:val="00117A37"/>
    <w:rsid w:val="00123A48"/>
    <w:rsid w:val="001245A4"/>
    <w:rsid w:val="001273AD"/>
    <w:rsid w:val="00130814"/>
    <w:rsid w:val="00130C4B"/>
    <w:rsid w:val="001312B7"/>
    <w:rsid w:val="00133F1C"/>
    <w:rsid w:val="001367C9"/>
    <w:rsid w:val="00136B18"/>
    <w:rsid w:val="001400EE"/>
    <w:rsid w:val="00141A79"/>
    <w:rsid w:val="001442AB"/>
    <w:rsid w:val="00145905"/>
    <w:rsid w:val="00156502"/>
    <w:rsid w:val="00157248"/>
    <w:rsid w:val="001622DE"/>
    <w:rsid w:val="0016607B"/>
    <w:rsid w:val="00166A90"/>
    <w:rsid w:val="00171B81"/>
    <w:rsid w:val="00175D96"/>
    <w:rsid w:val="001839C9"/>
    <w:rsid w:val="001912B2"/>
    <w:rsid w:val="001929AD"/>
    <w:rsid w:val="0019480F"/>
    <w:rsid w:val="001A2BA3"/>
    <w:rsid w:val="001A346B"/>
    <w:rsid w:val="001A4815"/>
    <w:rsid w:val="001B1263"/>
    <w:rsid w:val="001B37B9"/>
    <w:rsid w:val="001B56AD"/>
    <w:rsid w:val="001B6A67"/>
    <w:rsid w:val="001B73AD"/>
    <w:rsid w:val="001C0A06"/>
    <w:rsid w:val="001C2474"/>
    <w:rsid w:val="001C489E"/>
    <w:rsid w:val="001D3915"/>
    <w:rsid w:val="001D503F"/>
    <w:rsid w:val="001D59D1"/>
    <w:rsid w:val="001D5B9C"/>
    <w:rsid w:val="001D74E3"/>
    <w:rsid w:val="001E18DA"/>
    <w:rsid w:val="001E3598"/>
    <w:rsid w:val="001E371A"/>
    <w:rsid w:val="001E4807"/>
    <w:rsid w:val="001E565B"/>
    <w:rsid w:val="001E76AB"/>
    <w:rsid w:val="001F0060"/>
    <w:rsid w:val="001F0D9F"/>
    <w:rsid w:val="001F0DA4"/>
    <w:rsid w:val="001F1700"/>
    <w:rsid w:val="001F4049"/>
    <w:rsid w:val="002015DE"/>
    <w:rsid w:val="00202969"/>
    <w:rsid w:val="00204CF4"/>
    <w:rsid w:val="00205147"/>
    <w:rsid w:val="00207367"/>
    <w:rsid w:val="00207E53"/>
    <w:rsid w:val="002106AE"/>
    <w:rsid w:val="00214359"/>
    <w:rsid w:val="00217675"/>
    <w:rsid w:val="002244B1"/>
    <w:rsid w:val="0022686B"/>
    <w:rsid w:val="00231E45"/>
    <w:rsid w:val="0023598C"/>
    <w:rsid w:val="0024302E"/>
    <w:rsid w:val="00243EB7"/>
    <w:rsid w:val="002444E7"/>
    <w:rsid w:val="002455E4"/>
    <w:rsid w:val="00247412"/>
    <w:rsid w:val="00253946"/>
    <w:rsid w:val="0025413D"/>
    <w:rsid w:val="002571F8"/>
    <w:rsid w:val="00260CDB"/>
    <w:rsid w:val="00262CBC"/>
    <w:rsid w:val="00265FDC"/>
    <w:rsid w:val="00270B52"/>
    <w:rsid w:val="00274802"/>
    <w:rsid w:val="00293372"/>
    <w:rsid w:val="00294534"/>
    <w:rsid w:val="002A0CB5"/>
    <w:rsid w:val="002B2FA2"/>
    <w:rsid w:val="002B520B"/>
    <w:rsid w:val="002C5AA4"/>
    <w:rsid w:val="002C5C41"/>
    <w:rsid w:val="002C6EDC"/>
    <w:rsid w:val="002D078C"/>
    <w:rsid w:val="002D39AE"/>
    <w:rsid w:val="002D45E7"/>
    <w:rsid w:val="002D7CF3"/>
    <w:rsid w:val="002E54AE"/>
    <w:rsid w:val="002F1512"/>
    <w:rsid w:val="0030321B"/>
    <w:rsid w:val="0030468C"/>
    <w:rsid w:val="00304FF7"/>
    <w:rsid w:val="003063D5"/>
    <w:rsid w:val="003123DE"/>
    <w:rsid w:val="00321F0C"/>
    <w:rsid w:val="003278D9"/>
    <w:rsid w:val="003418F5"/>
    <w:rsid w:val="00342BFB"/>
    <w:rsid w:val="0034485F"/>
    <w:rsid w:val="00346BD2"/>
    <w:rsid w:val="00350511"/>
    <w:rsid w:val="0035181B"/>
    <w:rsid w:val="003519CE"/>
    <w:rsid w:val="00355172"/>
    <w:rsid w:val="00360FB2"/>
    <w:rsid w:val="003610CA"/>
    <w:rsid w:val="0036384F"/>
    <w:rsid w:val="00364E64"/>
    <w:rsid w:val="00364ED6"/>
    <w:rsid w:val="00373243"/>
    <w:rsid w:val="00374380"/>
    <w:rsid w:val="00385187"/>
    <w:rsid w:val="00387C6A"/>
    <w:rsid w:val="00390882"/>
    <w:rsid w:val="003917DD"/>
    <w:rsid w:val="0039495E"/>
    <w:rsid w:val="00394E63"/>
    <w:rsid w:val="003A021B"/>
    <w:rsid w:val="003A0F7D"/>
    <w:rsid w:val="003A103F"/>
    <w:rsid w:val="003A1BBB"/>
    <w:rsid w:val="003A5E30"/>
    <w:rsid w:val="003B12EB"/>
    <w:rsid w:val="003B6BAA"/>
    <w:rsid w:val="003B7E8E"/>
    <w:rsid w:val="003C1051"/>
    <w:rsid w:val="003C1FD2"/>
    <w:rsid w:val="003C20B7"/>
    <w:rsid w:val="003C2E62"/>
    <w:rsid w:val="003D007D"/>
    <w:rsid w:val="003D6858"/>
    <w:rsid w:val="003F21F5"/>
    <w:rsid w:val="004003AA"/>
    <w:rsid w:val="00403441"/>
    <w:rsid w:val="00412575"/>
    <w:rsid w:val="0041338A"/>
    <w:rsid w:val="00414166"/>
    <w:rsid w:val="00415445"/>
    <w:rsid w:val="00415450"/>
    <w:rsid w:val="00420A79"/>
    <w:rsid w:val="00427935"/>
    <w:rsid w:val="00433FAC"/>
    <w:rsid w:val="0043580D"/>
    <w:rsid w:val="00440600"/>
    <w:rsid w:val="00444214"/>
    <w:rsid w:val="00450194"/>
    <w:rsid w:val="00450EE5"/>
    <w:rsid w:val="004530D4"/>
    <w:rsid w:val="0045463B"/>
    <w:rsid w:val="0045527E"/>
    <w:rsid w:val="004607E3"/>
    <w:rsid w:val="0047031D"/>
    <w:rsid w:val="00471186"/>
    <w:rsid w:val="004716FD"/>
    <w:rsid w:val="00476145"/>
    <w:rsid w:val="00482C1D"/>
    <w:rsid w:val="00485A46"/>
    <w:rsid w:val="00495BBF"/>
    <w:rsid w:val="004B4380"/>
    <w:rsid w:val="004B4F61"/>
    <w:rsid w:val="004B5525"/>
    <w:rsid w:val="004C01B2"/>
    <w:rsid w:val="004C1ED2"/>
    <w:rsid w:val="004C6F3B"/>
    <w:rsid w:val="004D471E"/>
    <w:rsid w:val="004E486E"/>
    <w:rsid w:val="004F10E8"/>
    <w:rsid w:val="004F7E3D"/>
    <w:rsid w:val="00500025"/>
    <w:rsid w:val="00505102"/>
    <w:rsid w:val="00511FCA"/>
    <w:rsid w:val="00512B82"/>
    <w:rsid w:val="0052314B"/>
    <w:rsid w:val="00530869"/>
    <w:rsid w:val="00532406"/>
    <w:rsid w:val="005337A3"/>
    <w:rsid w:val="00534365"/>
    <w:rsid w:val="005350AB"/>
    <w:rsid w:val="00537908"/>
    <w:rsid w:val="00545CCF"/>
    <w:rsid w:val="00547F79"/>
    <w:rsid w:val="00551DC2"/>
    <w:rsid w:val="00553A6D"/>
    <w:rsid w:val="00554F4C"/>
    <w:rsid w:val="005554C2"/>
    <w:rsid w:val="0057021A"/>
    <w:rsid w:val="005728B3"/>
    <w:rsid w:val="00576BE6"/>
    <w:rsid w:val="00584AD5"/>
    <w:rsid w:val="0058784B"/>
    <w:rsid w:val="00587993"/>
    <w:rsid w:val="00587C49"/>
    <w:rsid w:val="005907C2"/>
    <w:rsid w:val="005908EF"/>
    <w:rsid w:val="00591D53"/>
    <w:rsid w:val="005936F9"/>
    <w:rsid w:val="005939B6"/>
    <w:rsid w:val="00595161"/>
    <w:rsid w:val="005956F8"/>
    <w:rsid w:val="00596033"/>
    <w:rsid w:val="005A4D47"/>
    <w:rsid w:val="005A55B6"/>
    <w:rsid w:val="005B087E"/>
    <w:rsid w:val="005B0AD8"/>
    <w:rsid w:val="005B123C"/>
    <w:rsid w:val="005B4DF6"/>
    <w:rsid w:val="005B4ECD"/>
    <w:rsid w:val="005C3217"/>
    <w:rsid w:val="005C519E"/>
    <w:rsid w:val="005C6584"/>
    <w:rsid w:val="005C6F88"/>
    <w:rsid w:val="005D1021"/>
    <w:rsid w:val="005D53E5"/>
    <w:rsid w:val="005D7A78"/>
    <w:rsid w:val="005E09F2"/>
    <w:rsid w:val="005E41CF"/>
    <w:rsid w:val="005E772D"/>
    <w:rsid w:val="005F289D"/>
    <w:rsid w:val="005F3414"/>
    <w:rsid w:val="005F3E90"/>
    <w:rsid w:val="005F4ACB"/>
    <w:rsid w:val="005F4E9D"/>
    <w:rsid w:val="00602C4A"/>
    <w:rsid w:val="00611281"/>
    <w:rsid w:val="006162C9"/>
    <w:rsid w:val="00617A24"/>
    <w:rsid w:val="00622A45"/>
    <w:rsid w:val="006267F0"/>
    <w:rsid w:val="00627D4A"/>
    <w:rsid w:val="00633416"/>
    <w:rsid w:val="0063406C"/>
    <w:rsid w:val="00634FE5"/>
    <w:rsid w:val="00635974"/>
    <w:rsid w:val="00644533"/>
    <w:rsid w:val="006446E8"/>
    <w:rsid w:val="00644840"/>
    <w:rsid w:val="00645AA8"/>
    <w:rsid w:val="0065025D"/>
    <w:rsid w:val="00653FF7"/>
    <w:rsid w:val="006541B2"/>
    <w:rsid w:val="00654985"/>
    <w:rsid w:val="00664653"/>
    <w:rsid w:val="00664CE6"/>
    <w:rsid w:val="006659BA"/>
    <w:rsid w:val="00667945"/>
    <w:rsid w:val="00681DA7"/>
    <w:rsid w:val="00683B07"/>
    <w:rsid w:val="00690FF1"/>
    <w:rsid w:val="006A0148"/>
    <w:rsid w:val="006A0691"/>
    <w:rsid w:val="006B7DD6"/>
    <w:rsid w:val="006C2D73"/>
    <w:rsid w:val="006C50C9"/>
    <w:rsid w:val="006D0CC9"/>
    <w:rsid w:val="006D5E21"/>
    <w:rsid w:val="006D7AAE"/>
    <w:rsid w:val="006E5DF5"/>
    <w:rsid w:val="006F05FA"/>
    <w:rsid w:val="006F0EDB"/>
    <w:rsid w:val="006F2B77"/>
    <w:rsid w:val="006F378F"/>
    <w:rsid w:val="00702083"/>
    <w:rsid w:val="00705199"/>
    <w:rsid w:val="00705AB6"/>
    <w:rsid w:val="00711360"/>
    <w:rsid w:val="007156C3"/>
    <w:rsid w:val="007175F5"/>
    <w:rsid w:val="00722E9B"/>
    <w:rsid w:val="00730071"/>
    <w:rsid w:val="00730499"/>
    <w:rsid w:val="00736CF5"/>
    <w:rsid w:val="0074460E"/>
    <w:rsid w:val="00745013"/>
    <w:rsid w:val="00745ACD"/>
    <w:rsid w:val="00750E22"/>
    <w:rsid w:val="007512F2"/>
    <w:rsid w:val="00752082"/>
    <w:rsid w:val="00760798"/>
    <w:rsid w:val="0076361A"/>
    <w:rsid w:val="00764ABD"/>
    <w:rsid w:val="00764EB8"/>
    <w:rsid w:val="00765718"/>
    <w:rsid w:val="0077234D"/>
    <w:rsid w:val="00773EEA"/>
    <w:rsid w:val="00774627"/>
    <w:rsid w:val="0079797A"/>
    <w:rsid w:val="007A2D4F"/>
    <w:rsid w:val="007A39CF"/>
    <w:rsid w:val="007A4063"/>
    <w:rsid w:val="007A5734"/>
    <w:rsid w:val="007A6778"/>
    <w:rsid w:val="007A6F55"/>
    <w:rsid w:val="007B06F0"/>
    <w:rsid w:val="007B0E9E"/>
    <w:rsid w:val="007B0FE5"/>
    <w:rsid w:val="007B101B"/>
    <w:rsid w:val="007B3B51"/>
    <w:rsid w:val="007B62FA"/>
    <w:rsid w:val="007B64A3"/>
    <w:rsid w:val="007B6DCA"/>
    <w:rsid w:val="007B6F9E"/>
    <w:rsid w:val="007B7C62"/>
    <w:rsid w:val="007C276E"/>
    <w:rsid w:val="007D260E"/>
    <w:rsid w:val="007E1A92"/>
    <w:rsid w:val="007E612A"/>
    <w:rsid w:val="007E7295"/>
    <w:rsid w:val="007E74BD"/>
    <w:rsid w:val="007F0C42"/>
    <w:rsid w:val="007F3E3B"/>
    <w:rsid w:val="007F5524"/>
    <w:rsid w:val="007F5FB0"/>
    <w:rsid w:val="00804C00"/>
    <w:rsid w:val="008073DF"/>
    <w:rsid w:val="00817C16"/>
    <w:rsid w:val="008319C7"/>
    <w:rsid w:val="00836516"/>
    <w:rsid w:val="008379A7"/>
    <w:rsid w:val="00840C97"/>
    <w:rsid w:val="00840E50"/>
    <w:rsid w:val="00841507"/>
    <w:rsid w:val="00847596"/>
    <w:rsid w:val="00850F0E"/>
    <w:rsid w:val="00854622"/>
    <w:rsid w:val="008625C0"/>
    <w:rsid w:val="00864688"/>
    <w:rsid w:val="00866303"/>
    <w:rsid w:val="00872ABE"/>
    <w:rsid w:val="00877000"/>
    <w:rsid w:val="00877AFA"/>
    <w:rsid w:val="008817A7"/>
    <w:rsid w:val="00890D09"/>
    <w:rsid w:val="008912D0"/>
    <w:rsid w:val="00892A7E"/>
    <w:rsid w:val="008946D8"/>
    <w:rsid w:val="008A0A94"/>
    <w:rsid w:val="008B01F7"/>
    <w:rsid w:val="008B3ABA"/>
    <w:rsid w:val="008B4731"/>
    <w:rsid w:val="008B56AF"/>
    <w:rsid w:val="008B5EDB"/>
    <w:rsid w:val="008C0941"/>
    <w:rsid w:val="008C27BE"/>
    <w:rsid w:val="008C7DA5"/>
    <w:rsid w:val="008D6989"/>
    <w:rsid w:val="008E42B1"/>
    <w:rsid w:val="008E4615"/>
    <w:rsid w:val="008E5FC4"/>
    <w:rsid w:val="008E6B5B"/>
    <w:rsid w:val="008F2E82"/>
    <w:rsid w:val="008F3B6D"/>
    <w:rsid w:val="008F3BB6"/>
    <w:rsid w:val="008F4FFB"/>
    <w:rsid w:val="008F588F"/>
    <w:rsid w:val="00900A9C"/>
    <w:rsid w:val="00905FFF"/>
    <w:rsid w:val="00911180"/>
    <w:rsid w:val="00911915"/>
    <w:rsid w:val="00915EB8"/>
    <w:rsid w:val="00920C51"/>
    <w:rsid w:val="00927494"/>
    <w:rsid w:val="00930274"/>
    <w:rsid w:val="00931F9E"/>
    <w:rsid w:val="00935802"/>
    <w:rsid w:val="00936E58"/>
    <w:rsid w:val="009410B2"/>
    <w:rsid w:val="0094213C"/>
    <w:rsid w:val="00953D53"/>
    <w:rsid w:val="009541E5"/>
    <w:rsid w:val="00955240"/>
    <w:rsid w:val="009558FA"/>
    <w:rsid w:val="00964860"/>
    <w:rsid w:val="00974B25"/>
    <w:rsid w:val="0097769E"/>
    <w:rsid w:val="00982154"/>
    <w:rsid w:val="00983063"/>
    <w:rsid w:val="00984243"/>
    <w:rsid w:val="00991080"/>
    <w:rsid w:val="0099241A"/>
    <w:rsid w:val="00992A37"/>
    <w:rsid w:val="009A084F"/>
    <w:rsid w:val="009A3D80"/>
    <w:rsid w:val="009A5C95"/>
    <w:rsid w:val="009A60B3"/>
    <w:rsid w:val="009B0472"/>
    <w:rsid w:val="009B0AC7"/>
    <w:rsid w:val="009B13CB"/>
    <w:rsid w:val="009B6A0F"/>
    <w:rsid w:val="009C1E5B"/>
    <w:rsid w:val="009C27DE"/>
    <w:rsid w:val="009C2B0D"/>
    <w:rsid w:val="009C419B"/>
    <w:rsid w:val="009C4E5D"/>
    <w:rsid w:val="009C6B30"/>
    <w:rsid w:val="009C6CB7"/>
    <w:rsid w:val="009C7476"/>
    <w:rsid w:val="009D50D1"/>
    <w:rsid w:val="009E0986"/>
    <w:rsid w:val="009F54DD"/>
    <w:rsid w:val="009F671C"/>
    <w:rsid w:val="00A04DD7"/>
    <w:rsid w:val="00A05DA6"/>
    <w:rsid w:val="00A11CEB"/>
    <w:rsid w:val="00A16169"/>
    <w:rsid w:val="00A30B41"/>
    <w:rsid w:val="00A347DB"/>
    <w:rsid w:val="00A40282"/>
    <w:rsid w:val="00A43D7D"/>
    <w:rsid w:val="00A45135"/>
    <w:rsid w:val="00A51437"/>
    <w:rsid w:val="00A52B2A"/>
    <w:rsid w:val="00A547FA"/>
    <w:rsid w:val="00A54DBD"/>
    <w:rsid w:val="00A561DC"/>
    <w:rsid w:val="00A63AF6"/>
    <w:rsid w:val="00A70EB6"/>
    <w:rsid w:val="00A72ABC"/>
    <w:rsid w:val="00A74786"/>
    <w:rsid w:val="00A74E3C"/>
    <w:rsid w:val="00A77352"/>
    <w:rsid w:val="00A83CE4"/>
    <w:rsid w:val="00A90193"/>
    <w:rsid w:val="00A91904"/>
    <w:rsid w:val="00A927B5"/>
    <w:rsid w:val="00AA4B55"/>
    <w:rsid w:val="00AB2505"/>
    <w:rsid w:val="00AB6A36"/>
    <w:rsid w:val="00AC066F"/>
    <w:rsid w:val="00AC59A8"/>
    <w:rsid w:val="00AC6023"/>
    <w:rsid w:val="00AD14F1"/>
    <w:rsid w:val="00AD543E"/>
    <w:rsid w:val="00AD6668"/>
    <w:rsid w:val="00AD6B91"/>
    <w:rsid w:val="00AE03EB"/>
    <w:rsid w:val="00AE76FD"/>
    <w:rsid w:val="00AF0BC6"/>
    <w:rsid w:val="00AF14B2"/>
    <w:rsid w:val="00AF5755"/>
    <w:rsid w:val="00AF6E36"/>
    <w:rsid w:val="00B00E74"/>
    <w:rsid w:val="00B01016"/>
    <w:rsid w:val="00B02FEC"/>
    <w:rsid w:val="00B05D9B"/>
    <w:rsid w:val="00B07D99"/>
    <w:rsid w:val="00B10EF4"/>
    <w:rsid w:val="00B17C42"/>
    <w:rsid w:val="00B26BE0"/>
    <w:rsid w:val="00B27330"/>
    <w:rsid w:val="00B27F31"/>
    <w:rsid w:val="00B3017B"/>
    <w:rsid w:val="00B34304"/>
    <w:rsid w:val="00B3486A"/>
    <w:rsid w:val="00B36EF0"/>
    <w:rsid w:val="00B42400"/>
    <w:rsid w:val="00B46B6B"/>
    <w:rsid w:val="00B47857"/>
    <w:rsid w:val="00B61B48"/>
    <w:rsid w:val="00B73A7A"/>
    <w:rsid w:val="00B75DB6"/>
    <w:rsid w:val="00B800BA"/>
    <w:rsid w:val="00B80B18"/>
    <w:rsid w:val="00B841A6"/>
    <w:rsid w:val="00B85737"/>
    <w:rsid w:val="00B90A72"/>
    <w:rsid w:val="00B914D4"/>
    <w:rsid w:val="00B92ACA"/>
    <w:rsid w:val="00B937C0"/>
    <w:rsid w:val="00B96DE2"/>
    <w:rsid w:val="00B97F42"/>
    <w:rsid w:val="00BA07FB"/>
    <w:rsid w:val="00BA1306"/>
    <w:rsid w:val="00BA23E0"/>
    <w:rsid w:val="00BA3DD0"/>
    <w:rsid w:val="00BA408D"/>
    <w:rsid w:val="00BA681F"/>
    <w:rsid w:val="00BB1347"/>
    <w:rsid w:val="00BB7D77"/>
    <w:rsid w:val="00BC0135"/>
    <w:rsid w:val="00BC7199"/>
    <w:rsid w:val="00BD0B98"/>
    <w:rsid w:val="00BD3F6B"/>
    <w:rsid w:val="00BE2645"/>
    <w:rsid w:val="00BE2AA2"/>
    <w:rsid w:val="00BE76D8"/>
    <w:rsid w:val="00BF0BC3"/>
    <w:rsid w:val="00BF1658"/>
    <w:rsid w:val="00BF44D9"/>
    <w:rsid w:val="00C014D3"/>
    <w:rsid w:val="00C014DE"/>
    <w:rsid w:val="00C050E9"/>
    <w:rsid w:val="00C123BE"/>
    <w:rsid w:val="00C235ED"/>
    <w:rsid w:val="00C24306"/>
    <w:rsid w:val="00C2478A"/>
    <w:rsid w:val="00C414A3"/>
    <w:rsid w:val="00C44F21"/>
    <w:rsid w:val="00C53FA5"/>
    <w:rsid w:val="00C62DC5"/>
    <w:rsid w:val="00C64B87"/>
    <w:rsid w:val="00C662DB"/>
    <w:rsid w:val="00C66FE7"/>
    <w:rsid w:val="00C71D7F"/>
    <w:rsid w:val="00C729B2"/>
    <w:rsid w:val="00C729F9"/>
    <w:rsid w:val="00C75406"/>
    <w:rsid w:val="00C76794"/>
    <w:rsid w:val="00C76A84"/>
    <w:rsid w:val="00C77531"/>
    <w:rsid w:val="00C77D32"/>
    <w:rsid w:val="00C87B6E"/>
    <w:rsid w:val="00C924AF"/>
    <w:rsid w:val="00C93629"/>
    <w:rsid w:val="00C946BB"/>
    <w:rsid w:val="00C97372"/>
    <w:rsid w:val="00CA3581"/>
    <w:rsid w:val="00CA3D00"/>
    <w:rsid w:val="00CA4F78"/>
    <w:rsid w:val="00CA75DB"/>
    <w:rsid w:val="00CB14F9"/>
    <w:rsid w:val="00CB3CFC"/>
    <w:rsid w:val="00CB4719"/>
    <w:rsid w:val="00CB5106"/>
    <w:rsid w:val="00CC263D"/>
    <w:rsid w:val="00CC5963"/>
    <w:rsid w:val="00CD21B5"/>
    <w:rsid w:val="00CD45DA"/>
    <w:rsid w:val="00CD5A54"/>
    <w:rsid w:val="00CE32B8"/>
    <w:rsid w:val="00CE5092"/>
    <w:rsid w:val="00CE51BE"/>
    <w:rsid w:val="00CE7984"/>
    <w:rsid w:val="00CF25F1"/>
    <w:rsid w:val="00CF5A23"/>
    <w:rsid w:val="00D055B6"/>
    <w:rsid w:val="00D063C4"/>
    <w:rsid w:val="00D1081B"/>
    <w:rsid w:val="00D12C90"/>
    <w:rsid w:val="00D13713"/>
    <w:rsid w:val="00D13ACF"/>
    <w:rsid w:val="00D13E8C"/>
    <w:rsid w:val="00D22B59"/>
    <w:rsid w:val="00D25D4C"/>
    <w:rsid w:val="00D27231"/>
    <w:rsid w:val="00D27605"/>
    <w:rsid w:val="00D33538"/>
    <w:rsid w:val="00D373F1"/>
    <w:rsid w:val="00D423B7"/>
    <w:rsid w:val="00D444CD"/>
    <w:rsid w:val="00D44568"/>
    <w:rsid w:val="00D466E7"/>
    <w:rsid w:val="00D47A2D"/>
    <w:rsid w:val="00D50C8E"/>
    <w:rsid w:val="00D53C9A"/>
    <w:rsid w:val="00D54DBB"/>
    <w:rsid w:val="00D55F5A"/>
    <w:rsid w:val="00D57619"/>
    <w:rsid w:val="00D61D32"/>
    <w:rsid w:val="00D63345"/>
    <w:rsid w:val="00D659BC"/>
    <w:rsid w:val="00D709C6"/>
    <w:rsid w:val="00D876F3"/>
    <w:rsid w:val="00D97AAD"/>
    <w:rsid w:val="00DA2EF8"/>
    <w:rsid w:val="00DA73EF"/>
    <w:rsid w:val="00DA7987"/>
    <w:rsid w:val="00DB4C48"/>
    <w:rsid w:val="00DC071F"/>
    <w:rsid w:val="00DC14BF"/>
    <w:rsid w:val="00DC3927"/>
    <w:rsid w:val="00DC3D99"/>
    <w:rsid w:val="00DD68A5"/>
    <w:rsid w:val="00DE0DF4"/>
    <w:rsid w:val="00DE1ED7"/>
    <w:rsid w:val="00DE24EE"/>
    <w:rsid w:val="00DE3F56"/>
    <w:rsid w:val="00DF2692"/>
    <w:rsid w:val="00DF6632"/>
    <w:rsid w:val="00DF66A6"/>
    <w:rsid w:val="00E012E5"/>
    <w:rsid w:val="00E0715F"/>
    <w:rsid w:val="00E13747"/>
    <w:rsid w:val="00E15409"/>
    <w:rsid w:val="00E20829"/>
    <w:rsid w:val="00E23F5C"/>
    <w:rsid w:val="00E32104"/>
    <w:rsid w:val="00E33BB3"/>
    <w:rsid w:val="00E367A3"/>
    <w:rsid w:val="00E36BCB"/>
    <w:rsid w:val="00E41E5C"/>
    <w:rsid w:val="00E43C6D"/>
    <w:rsid w:val="00E43E05"/>
    <w:rsid w:val="00E44063"/>
    <w:rsid w:val="00E4564A"/>
    <w:rsid w:val="00E46DF7"/>
    <w:rsid w:val="00E55190"/>
    <w:rsid w:val="00E556CD"/>
    <w:rsid w:val="00E57363"/>
    <w:rsid w:val="00E60F37"/>
    <w:rsid w:val="00E63FB5"/>
    <w:rsid w:val="00E640F0"/>
    <w:rsid w:val="00E66D7F"/>
    <w:rsid w:val="00E715A6"/>
    <w:rsid w:val="00E7298D"/>
    <w:rsid w:val="00E879B0"/>
    <w:rsid w:val="00E903A2"/>
    <w:rsid w:val="00E90A2B"/>
    <w:rsid w:val="00E924F4"/>
    <w:rsid w:val="00E932DE"/>
    <w:rsid w:val="00EA261D"/>
    <w:rsid w:val="00EB0AC8"/>
    <w:rsid w:val="00EB1DD6"/>
    <w:rsid w:val="00EB38C7"/>
    <w:rsid w:val="00EB4369"/>
    <w:rsid w:val="00EB4860"/>
    <w:rsid w:val="00EB55BD"/>
    <w:rsid w:val="00EB63D5"/>
    <w:rsid w:val="00EC1319"/>
    <w:rsid w:val="00EC149B"/>
    <w:rsid w:val="00EC2CC2"/>
    <w:rsid w:val="00EC4C51"/>
    <w:rsid w:val="00EC4CE3"/>
    <w:rsid w:val="00ED26DE"/>
    <w:rsid w:val="00ED7AE1"/>
    <w:rsid w:val="00EE71D9"/>
    <w:rsid w:val="00EF0B16"/>
    <w:rsid w:val="00EF4D43"/>
    <w:rsid w:val="00EF6C9E"/>
    <w:rsid w:val="00F04604"/>
    <w:rsid w:val="00F05181"/>
    <w:rsid w:val="00F13905"/>
    <w:rsid w:val="00F21F8E"/>
    <w:rsid w:val="00F26B49"/>
    <w:rsid w:val="00F32635"/>
    <w:rsid w:val="00F334EE"/>
    <w:rsid w:val="00F33C06"/>
    <w:rsid w:val="00F3706A"/>
    <w:rsid w:val="00F42ADF"/>
    <w:rsid w:val="00F430F3"/>
    <w:rsid w:val="00F43110"/>
    <w:rsid w:val="00F54122"/>
    <w:rsid w:val="00F56845"/>
    <w:rsid w:val="00F614CB"/>
    <w:rsid w:val="00F615CD"/>
    <w:rsid w:val="00F61995"/>
    <w:rsid w:val="00F62743"/>
    <w:rsid w:val="00F65874"/>
    <w:rsid w:val="00F67487"/>
    <w:rsid w:val="00F7131D"/>
    <w:rsid w:val="00F723D5"/>
    <w:rsid w:val="00F7274E"/>
    <w:rsid w:val="00F72B94"/>
    <w:rsid w:val="00F72C4B"/>
    <w:rsid w:val="00F732C9"/>
    <w:rsid w:val="00F73333"/>
    <w:rsid w:val="00F7622A"/>
    <w:rsid w:val="00F77FB5"/>
    <w:rsid w:val="00F81475"/>
    <w:rsid w:val="00F83FB7"/>
    <w:rsid w:val="00F84A2F"/>
    <w:rsid w:val="00F87377"/>
    <w:rsid w:val="00F92DE0"/>
    <w:rsid w:val="00F940C6"/>
    <w:rsid w:val="00F96E41"/>
    <w:rsid w:val="00F97410"/>
    <w:rsid w:val="00FA4EB6"/>
    <w:rsid w:val="00FB10E5"/>
    <w:rsid w:val="00FB3104"/>
    <w:rsid w:val="00FB7878"/>
    <w:rsid w:val="00FC0343"/>
    <w:rsid w:val="00FC06A9"/>
    <w:rsid w:val="00FC2AF7"/>
    <w:rsid w:val="00FC3820"/>
    <w:rsid w:val="00FC60B3"/>
    <w:rsid w:val="00FC676E"/>
    <w:rsid w:val="00FD450D"/>
    <w:rsid w:val="00FD595E"/>
    <w:rsid w:val="00FE114B"/>
    <w:rsid w:val="00FF5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556AC8"/>
  <w15:docId w15:val="{A1572A81-D7AC-4742-BF50-205572FA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88F"/>
    <w:pPr>
      <w:tabs>
        <w:tab w:val="left" w:pos="340"/>
        <w:tab w:val="left" w:pos="680"/>
      </w:tabs>
      <w:ind w:firstLine="227"/>
      <w:jc w:val="both"/>
    </w:pPr>
    <w:rPr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88F"/>
    <w:pPr>
      <w:keepNext/>
      <w:keepLines/>
      <w:numPr>
        <w:numId w:val="1"/>
      </w:numPr>
      <w:suppressAutoHyphens/>
      <w:spacing w:before="400" w:after="200"/>
      <w:ind w:left="0"/>
      <w:jc w:val="center"/>
      <w:outlineLvl w:val="0"/>
    </w:pPr>
    <w:rPr>
      <w:rFonts w:cs="Arial"/>
      <w:bCs/>
      <w:caps/>
      <w:kern w:val="32"/>
      <w:sz w:val="16"/>
      <w:szCs w:val="16"/>
    </w:rPr>
  </w:style>
  <w:style w:type="paragraph" w:styleId="Heading2">
    <w:name w:val="heading 2"/>
    <w:basedOn w:val="Heading1"/>
    <w:next w:val="Normal"/>
    <w:qFormat/>
    <w:rsid w:val="0000588F"/>
    <w:pPr>
      <w:numPr>
        <w:ilvl w:val="1"/>
      </w:numPr>
      <w:spacing w:before="300" w:after="150"/>
      <w:jc w:val="left"/>
      <w:outlineLvl w:val="1"/>
    </w:pPr>
    <w:rPr>
      <w:bCs w:val="0"/>
      <w:i/>
      <w:iCs/>
      <w:caps w:val="0"/>
      <w:sz w:val="20"/>
      <w:szCs w:val="20"/>
    </w:rPr>
  </w:style>
  <w:style w:type="paragraph" w:styleId="Heading3">
    <w:name w:val="heading 3"/>
    <w:basedOn w:val="Heading2"/>
    <w:next w:val="Normal"/>
    <w:qFormat/>
    <w:rsid w:val="00C75406"/>
    <w:pPr>
      <w:numPr>
        <w:ilvl w:val="0"/>
        <w:numId w:val="0"/>
      </w:numPr>
      <w:spacing w:before="150" w:after="0"/>
      <w:outlineLvl w:val="2"/>
    </w:pPr>
    <w:rPr>
      <w:bCs/>
      <w:szCs w:val="26"/>
    </w:rPr>
  </w:style>
  <w:style w:type="paragraph" w:styleId="Heading4">
    <w:name w:val="heading 4"/>
    <w:basedOn w:val="Heading3"/>
    <w:next w:val="Normal"/>
    <w:qFormat/>
    <w:rsid w:val="0000588F"/>
    <w:pPr>
      <w:spacing w:before="300" w:after="150"/>
      <w:outlineLvl w:val="3"/>
    </w:pPr>
    <w:rPr>
      <w:bCs w:val="0"/>
      <w:szCs w:val="28"/>
    </w:rPr>
  </w:style>
  <w:style w:type="paragraph" w:styleId="Heading5">
    <w:name w:val="heading 5"/>
    <w:basedOn w:val="Heading3"/>
    <w:next w:val="Normal"/>
    <w:qFormat/>
    <w:rsid w:val="0000588F"/>
    <w:pPr>
      <w:outlineLvl w:val="4"/>
    </w:pPr>
    <w:rPr>
      <w:bCs w:val="0"/>
      <w:iCs w:val="0"/>
    </w:rPr>
  </w:style>
  <w:style w:type="paragraph" w:styleId="Heading6">
    <w:name w:val="heading 6"/>
    <w:basedOn w:val="Heading3"/>
    <w:next w:val="Normal"/>
    <w:qFormat/>
    <w:rsid w:val="0000588F"/>
    <w:pPr>
      <w:spacing w:before="240" w:after="60"/>
      <w:outlineLvl w:val="5"/>
    </w:pPr>
    <w:rPr>
      <w:bCs w:val="0"/>
      <w:szCs w:val="22"/>
    </w:rPr>
  </w:style>
  <w:style w:type="paragraph" w:styleId="Heading7">
    <w:name w:val="heading 7"/>
    <w:basedOn w:val="Heading3"/>
    <w:next w:val="Normal"/>
    <w:qFormat/>
    <w:rsid w:val="0000588F"/>
    <w:pPr>
      <w:spacing w:before="240" w:after="60"/>
      <w:outlineLvl w:val="6"/>
    </w:pPr>
    <w:rPr>
      <w:szCs w:val="24"/>
    </w:rPr>
  </w:style>
  <w:style w:type="paragraph" w:styleId="Heading8">
    <w:name w:val="heading 8"/>
    <w:basedOn w:val="Heading3"/>
    <w:next w:val="Normal"/>
    <w:qFormat/>
    <w:rsid w:val="0000588F"/>
    <w:pPr>
      <w:spacing w:before="300" w:after="150"/>
      <w:outlineLvl w:val="7"/>
    </w:pPr>
    <w:rPr>
      <w:iCs w:val="0"/>
      <w:szCs w:val="24"/>
    </w:rPr>
  </w:style>
  <w:style w:type="paragraph" w:styleId="Heading9">
    <w:name w:val="heading 9"/>
    <w:basedOn w:val="Heading3"/>
    <w:next w:val="Normal"/>
    <w:qFormat/>
    <w:rsid w:val="0000588F"/>
    <w:p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next w:val="keywords"/>
    <w:rsid w:val="0000588F"/>
    <w:pPr>
      <w:widowControl w:val="0"/>
      <w:spacing w:after="200"/>
      <w:ind w:firstLine="227"/>
      <w:contextualSpacing/>
      <w:jc w:val="both"/>
    </w:pPr>
    <w:rPr>
      <w:b/>
      <w:sz w:val="18"/>
      <w:szCs w:val="18"/>
      <w:lang w:eastAsia="de-DE"/>
    </w:rPr>
  </w:style>
  <w:style w:type="paragraph" w:customStyle="1" w:styleId="keywords">
    <w:name w:val="keywords"/>
    <w:next w:val="Normal"/>
    <w:rsid w:val="00702083"/>
    <w:pPr>
      <w:spacing w:after="400"/>
      <w:ind w:firstLine="227"/>
      <w:contextualSpacing/>
      <w:jc w:val="both"/>
    </w:pPr>
    <w:rPr>
      <w:b/>
      <w:sz w:val="18"/>
      <w:szCs w:val="18"/>
      <w:lang w:eastAsia="de-DE"/>
    </w:rPr>
  </w:style>
  <w:style w:type="character" w:styleId="FollowedHyperlink">
    <w:name w:val="FollowedHyperlink"/>
    <w:basedOn w:val="DefaultParagraphFont"/>
    <w:rsid w:val="0000588F"/>
    <w:rPr>
      <w:color w:val="auto"/>
      <w:u w:val="none"/>
    </w:rPr>
  </w:style>
  <w:style w:type="paragraph" w:customStyle="1" w:styleId="authorinfo">
    <w:name w:val="authorinfo"/>
    <w:rsid w:val="0000588F"/>
    <w:pPr>
      <w:widowControl w:val="0"/>
      <w:spacing w:after="400"/>
      <w:contextualSpacing/>
      <w:jc w:val="center"/>
    </w:pPr>
    <w:rPr>
      <w:sz w:val="18"/>
      <w:lang w:eastAsia="de-DE"/>
    </w:rPr>
  </w:style>
  <w:style w:type="paragraph" w:customStyle="1" w:styleId="figure">
    <w:name w:val="figure"/>
    <w:basedOn w:val="Normal"/>
    <w:next w:val="figlegend"/>
    <w:rsid w:val="0000588F"/>
    <w:pPr>
      <w:keepNext/>
      <w:keepLines/>
      <w:spacing w:before="300" w:after="100"/>
      <w:ind w:firstLine="0"/>
      <w:jc w:val="center"/>
    </w:pPr>
    <w:rPr>
      <w:sz w:val="16"/>
    </w:rPr>
  </w:style>
  <w:style w:type="paragraph" w:customStyle="1" w:styleId="figlegend">
    <w:name w:val="figlegend"/>
    <w:next w:val="Normal"/>
    <w:rsid w:val="0000588F"/>
    <w:pPr>
      <w:keepLines/>
      <w:spacing w:before="100" w:after="300"/>
      <w:contextualSpacing/>
      <w:jc w:val="center"/>
    </w:pPr>
    <w:rPr>
      <w:snapToGrid w:val="0"/>
      <w:sz w:val="16"/>
      <w:szCs w:val="16"/>
    </w:rPr>
  </w:style>
  <w:style w:type="paragraph" w:customStyle="1" w:styleId="referenceavailable">
    <w:name w:val="reference_available"/>
    <w:basedOn w:val="Normal"/>
    <w:rsid w:val="0000588F"/>
    <w:pPr>
      <w:tabs>
        <w:tab w:val="clear" w:pos="340"/>
        <w:tab w:val="clear" w:pos="680"/>
      </w:tabs>
      <w:overflowPunct w:val="0"/>
      <w:autoSpaceDE w:val="0"/>
      <w:autoSpaceDN w:val="0"/>
      <w:adjustRightInd w:val="0"/>
      <w:ind w:left="340" w:firstLine="0"/>
      <w:textAlignment w:val="baseline"/>
    </w:pPr>
    <w:rPr>
      <w:sz w:val="16"/>
      <w:szCs w:val="18"/>
      <w:lang w:eastAsia="he-IL" w:bidi="he-IL"/>
    </w:rPr>
  </w:style>
  <w:style w:type="paragraph" w:customStyle="1" w:styleId="author">
    <w:name w:val="author"/>
    <w:next w:val="authorinfo"/>
    <w:rsid w:val="0000588F"/>
    <w:pPr>
      <w:suppressAutoHyphens/>
      <w:spacing w:after="200"/>
      <w:contextualSpacing/>
      <w:jc w:val="center"/>
    </w:pPr>
    <w:rPr>
      <w:sz w:val="24"/>
      <w:szCs w:val="24"/>
      <w:lang w:eastAsia="de-DE"/>
    </w:rPr>
  </w:style>
  <w:style w:type="paragraph" w:customStyle="1" w:styleId="heading10">
    <w:name w:val="heading1"/>
    <w:basedOn w:val="Heading1"/>
    <w:next w:val="Normal"/>
    <w:rsid w:val="0000588F"/>
    <w:rPr>
      <w:snapToGrid w:val="0"/>
      <w:lang w:eastAsia="en-US"/>
    </w:rPr>
  </w:style>
  <w:style w:type="paragraph" w:customStyle="1" w:styleId="heading20">
    <w:name w:val="heading2"/>
    <w:basedOn w:val="Heading2"/>
    <w:next w:val="Normal"/>
    <w:rsid w:val="0000588F"/>
  </w:style>
  <w:style w:type="paragraph" w:customStyle="1" w:styleId="heading2heading1">
    <w:name w:val="heading2_heading1"/>
    <w:basedOn w:val="heading20"/>
    <w:rsid w:val="0000588F"/>
    <w:pPr>
      <w:spacing w:before="0"/>
    </w:pPr>
  </w:style>
  <w:style w:type="character" w:styleId="Hyperlink">
    <w:name w:val="Hyperlink"/>
    <w:basedOn w:val="DefaultParagraphFont"/>
    <w:rsid w:val="0000588F"/>
    <w:rPr>
      <w:color w:val="auto"/>
      <w:u w:val="none"/>
    </w:rPr>
  </w:style>
  <w:style w:type="paragraph" w:customStyle="1" w:styleId="Titel1">
    <w:name w:val="Titel1"/>
    <w:next w:val="author"/>
    <w:rsid w:val="0000588F"/>
    <w:pPr>
      <w:keepLines/>
      <w:suppressAutoHyphens/>
      <w:spacing w:after="160"/>
      <w:contextualSpacing/>
      <w:jc w:val="center"/>
    </w:pPr>
    <w:rPr>
      <w:b/>
      <w:sz w:val="28"/>
      <w:szCs w:val="28"/>
      <w:lang w:eastAsia="de-DE"/>
    </w:rPr>
  </w:style>
  <w:style w:type="character" w:customStyle="1" w:styleId="italic">
    <w:name w:val="italic"/>
    <w:basedOn w:val="DefaultParagraphFont"/>
    <w:rsid w:val="0000588F"/>
    <w:rPr>
      <w:i/>
      <w:iCs/>
    </w:rPr>
  </w:style>
  <w:style w:type="character" w:customStyle="1" w:styleId="initial12">
    <w:name w:val="initial_12"/>
    <w:basedOn w:val="DefaultParagraphFont"/>
    <w:rsid w:val="0000588F"/>
    <w:rPr>
      <w:sz w:val="24"/>
      <w:szCs w:val="24"/>
    </w:rPr>
  </w:style>
  <w:style w:type="paragraph" w:styleId="Salutation">
    <w:name w:val="Salutation"/>
    <w:basedOn w:val="Normal"/>
    <w:next w:val="Normal"/>
    <w:rsid w:val="0000588F"/>
  </w:style>
  <w:style w:type="paragraph" w:customStyle="1" w:styleId="tablelegend">
    <w:name w:val="tablelegend"/>
    <w:basedOn w:val="Normal"/>
    <w:rsid w:val="0000588F"/>
    <w:pPr>
      <w:keepNext/>
      <w:keepLines/>
      <w:suppressAutoHyphens/>
      <w:spacing w:before="300" w:after="100"/>
      <w:ind w:firstLine="0"/>
      <w:contextualSpacing/>
      <w:jc w:val="center"/>
    </w:pPr>
    <w:rPr>
      <w:sz w:val="16"/>
      <w:szCs w:val="16"/>
    </w:rPr>
  </w:style>
  <w:style w:type="character" w:customStyle="1" w:styleId="initial10">
    <w:name w:val="initial_10"/>
    <w:basedOn w:val="DefaultParagraphFont"/>
    <w:rsid w:val="0000588F"/>
    <w:rPr>
      <w:sz w:val="20"/>
      <w:szCs w:val="20"/>
      <w:lang w:eastAsia="en-US"/>
    </w:rPr>
  </w:style>
  <w:style w:type="character" w:customStyle="1" w:styleId="bold">
    <w:name w:val="bold"/>
    <w:basedOn w:val="DefaultParagraphFont"/>
    <w:rsid w:val="0000588F"/>
    <w:rPr>
      <w:b/>
    </w:rPr>
  </w:style>
  <w:style w:type="character" w:customStyle="1" w:styleId="initial8">
    <w:name w:val="initial_8"/>
    <w:basedOn w:val="DefaultParagraphFont"/>
    <w:rsid w:val="0000588F"/>
    <w:rPr>
      <w:caps/>
      <w:sz w:val="16"/>
      <w:szCs w:val="16"/>
      <w:lang w:eastAsia="en-US"/>
    </w:rPr>
  </w:style>
  <w:style w:type="paragraph" w:customStyle="1" w:styleId="heading1withoutNr">
    <w:name w:val="heading1_withoutNr"/>
    <w:basedOn w:val="heading10"/>
    <w:next w:val="referenceItem"/>
    <w:rsid w:val="0000588F"/>
    <w:pPr>
      <w:numPr>
        <w:numId w:val="0"/>
      </w:numPr>
      <w:spacing w:before="360" w:after="180"/>
    </w:pPr>
  </w:style>
  <w:style w:type="paragraph" w:customStyle="1" w:styleId="referenceItem">
    <w:name w:val="reference_Item"/>
    <w:basedOn w:val="Normal"/>
    <w:rsid w:val="0000588F"/>
    <w:pPr>
      <w:keepLines/>
      <w:tabs>
        <w:tab w:val="num" w:pos="340"/>
      </w:tabs>
      <w:autoSpaceDE w:val="0"/>
      <w:autoSpaceDN w:val="0"/>
      <w:ind w:left="340" w:hanging="340"/>
    </w:pPr>
    <w:rPr>
      <w:rFonts w:eastAsia="MS Mincho"/>
      <w:sz w:val="16"/>
      <w:szCs w:val="16"/>
      <w:lang w:eastAsia="en-US"/>
    </w:rPr>
  </w:style>
  <w:style w:type="paragraph" w:customStyle="1" w:styleId="tabletext">
    <w:name w:val="table_text"/>
    <w:basedOn w:val="Normal"/>
    <w:rsid w:val="0000588F"/>
    <w:pPr>
      <w:ind w:firstLine="0"/>
      <w:jc w:val="left"/>
    </w:pPr>
    <w:rPr>
      <w:snapToGrid w:val="0"/>
      <w:sz w:val="16"/>
      <w:lang w:eastAsia="en-US"/>
    </w:rPr>
  </w:style>
  <w:style w:type="paragraph" w:customStyle="1" w:styleId="tabletextcentre">
    <w:name w:val="table_text_centre"/>
    <w:basedOn w:val="tabletext"/>
    <w:rsid w:val="0000588F"/>
    <w:pPr>
      <w:jc w:val="center"/>
    </w:pPr>
  </w:style>
  <w:style w:type="paragraph" w:customStyle="1" w:styleId="tabletextright">
    <w:name w:val="table_text_right"/>
    <w:basedOn w:val="tabletext"/>
    <w:rsid w:val="0000588F"/>
    <w:pPr>
      <w:jc w:val="right"/>
    </w:pPr>
  </w:style>
  <w:style w:type="paragraph" w:styleId="ListBullet">
    <w:name w:val="List Bullet"/>
    <w:basedOn w:val="Normal"/>
    <w:rsid w:val="0000588F"/>
    <w:pPr>
      <w:tabs>
        <w:tab w:val="clear" w:pos="340"/>
        <w:tab w:val="num" w:pos="360"/>
      </w:tabs>
      <w:ind w:left="360" w:hanging="360"/>
    </w:pPr>
  </w:style>
  <w:style w:type="character" w:customStyle="1" w:styleId="AufzhlungszeichenZchn1">
    <w:name w:val="Aufzählungszeichen Zchn1"/>
    <w:basedOn w:val="DefaultParagraphFont"/>
    <w:rsid w:val="0000588F"/>
    <w:rPr>
      <w:rFonts w:eastAsia="Batang"/>
      <w:lang w:val="en-US" w:eastAsia="de-DE" w:bidi="ar-SA"/>
    </w:rPr>
  </w:style>
  <w:style w:type="paragraph" w:styleId="ListBullet2">
    <w:name w:val="List Bullet 2"/>
    <w:basedOn w:val="Normal"/>
    <w:rsid w:val="0000588F"/>
    <w:pPr>
      <w:numPr>
        <w:numId w:val="3"/>
      </w:numPr>
    </w:pPr>
  </w:style>
  <w:style w:type="paragraph" w:styleId="ListBullet3">
    <w:name w:val="List Bullet 3"/>
    <w:basedOn w:val="Normal"/>
    <w:rsid w:val="0000588F"/>
    <w:pPr>
      <w:numPr>
        <w:numId w:val="2"/>
      </w:numPr>
    </w:pPr>
  </w:style>
  <w:style w:type="paragraph" w:styleId="FootnoteText">
    <w:name w:val="footnote text"/>
    <w:basedOn w:val="Standard-1pt"/>
    <w:semiHidden/>
    <w:rsid w:val="0000588F"/>
    <w:pPr>
      <w:tabs>
        <w:tab w:val="clear" w:pos="340"/>
        <w:tab w:val="clear" w:pos="680"/>
        <w:tab w:val="left" w:pos="170"/>
      </w:tabs>
      <w:ind w:left="170" w:hanging="170"/>
    </w:pPr>
  </w:style>
  <w:style w:type="paragraph" w:customStyle="1" w:styleId="equation">
    <w:name w:val="equation"/>
    <w:rsid w:val="0000588F"/>
    <w:pPr>
      <w:tabs>
        <w:tab w:val="center" w:pos="2421"/>
        <w:tab w:val="right" w:pos="4848"/>
      </w:tabs>
      <w:spacing w:before="120" w:after="120"/>
    </w:pPr>
    <w:rPr>
      <w:iCs/>
      <w:snapToGrid w:val="0"/>
    </w:rPr>
  </w:style>
  <w:style w:type="paragraph" w:customStyle="1" w:styleId="thanks">
    <w:name w:val="thanks"/>
    <w:basedOn w:val="Normal"/>
    <w:rsid w:val="0000588F"/>
    <w:pPr>
      <w:framePr w:w="4848" w:h="227" w:vSpace="113" w:wrap="around" w:hAnchor="text" w:yAlign="bottom" w:anchorLock="1"/>
      <w:ind w:firstLine="0"/>
    </w:pPr>
    <w:rPr>
      <w:sz w:val="16"/>
      <w:szCs w:val="16"/>
    </w:rPr>
  </w:style>
  <w:style w:type="paragraph" w:styleId="ListBullet4">
    <w:name w:val="List Bullet 4"/>
    <w:basedOn w:val="Normal"/>
    <w:rsid w:val="0000588F"/>
    <w:pPr>
      <w:tabs>
        <w:tab w:val="num" w:pos="1209"/>
      </w:tabs>
      <w:ind w:left="1209" w:hanging="360"/>
    </w:pPr>
  </w:style>
  <w:style w:type="paragraph" w:customStyle="1" w:styleId="authoraddressline1">
    <w:name w:val="author_address_line1"/>
    <w:next w:val="authoraddress"/>
    <w:rsid w:val="0000588F"/>
    <w:pPr>
      <w:spacing w:before="360" w:after="180"/>
      <w:ind w:left="340"/>
      <w:contextualSpacing/>
    </w:pPr>
    <w:rPr>
      <w:sz w:val="16"/>
      <w:lang w:eastAsia="de-DE"/>
    </w:rPr>
  </w:style>
  <w:style w:type="paragraph" w:customStyle="1" w:styleId="authoraddress">
    <w:name w:val="author_address"/>
    <w:rsid w:val="0000588F"/>
    <w:pPr>
      <w:tabs>
        <w:tab w:val="left" w:pos="964"/>
      </w:tabs>
      <w:ind w:left="964" w:hanging="624"/>
    </w:pPr>
    <w:rPr>
      <w:snapToGrid w:val="0"/>
      <w:sz w:val="16"/>
      <w:lang w:eastAsia="ja-JP"/>
    </w:rPr>
  </w:style>
  <w:style w:type="character" w:customStyle="1" w:styleId="TimesNewRoman">
    <w:name w:val="TimesNewRoman"/>
    <w:basedOn w:val="DefaultParagraphFont"/>
    <w:rsid w:val="0000588F"/>
    <w:rPr>
      <w:rFonts w:ascii="Times New Roman" w:hAnsi="Times New Roman"/>
    </w:rPr>
  </w:style>
  <w:style w:type="paragraph" w:customStyle="1" w:styleId="tablenotes">
    <w:name w:val="tablenotes"/>
    <w:basedOn w:val="tablelegend"/>
    <w:rsid w:val="0000588F"/>
    <w:pPr>
      <w:keepNext w:val="0"/>
      <w:spacing w:before="100" w:after="300"/>
      <w:jc w:val="left"/>
    </w:pPr>
  </w:style>
  <w:style w:type="character" w:styleId="FootnoteReference">
    <w:name w:val="footnote reference"/>
    <w:basedOn w:val="DefaultParagraphFont"/>
    <w:semiHidden/>
    <w:rsid w:val="0000588F"/>
    <w:rPr>
      <w:vertAlign w:val="superscript"/>
    </w:rPr>
  </w:style>
  <w:style w:type="paragraph" w:styleId="ListBullet5">
    <w:name w:val="List Bullet 5"/>
    <w:basedOn w:val="Normal"/>
    <w:rsid w:val="0000588F"/>
    <w:pPr>
      <w:tabs>
        <w:tab w:val="num" w:pos="1492"/>
      </w:tabs>
      <w:ind w:left="1492" w:hanging="360"/>
    </w:pPr>
  </w:style>
  <w:style w:type="paragraph" w:styleId="BlockText">
    <w:name w:val="Block Text"/>
    <w:basedOn w:val="Normal"/>
    <w:rsid w:val="0000588F"/>
  </w:style>
  <w:style w:type="paragraph" w:styleId="Date">
    <w:name w:val="Date"/>
    <w:basedOn w:val="Normal"/>
    <w:next w:val="Normal"/>
    <w:rsid w:val="0000588F"/>
  </w:style>
  <w:style w:type="paragraph" w:styleId="DocumentMap">
    <w:name w:val="Document Map"/>
    <w:basedOn w:val="Normal"/>
    <w:semiHidden/>
    <w:rsid w:val="0000588F"/>
    <w:pPr>
      <w:shd w:val="clear" w:color="auto" w:fill="000080"/>
    </w:pPr>
    <w:rPr>
      <w:rFonts w:ascii="Tahoma" w:hAnsi="Tahoma" w:cs="Tahoma"/>
    </w:rPr>
  </w:style>
  <w:style w:type="paragraph" w:styleId="NoteHeading">
    <w:name w:val="Note Heading"/>
    <w:basedOn w:val="Standard-1pt"/>
    <w:next w:val="Normal"/>
    <w:rsid w:val="0000588F"/>
    <w:pPr>
      <w:ind w:firstLine="0"/>
    </w:pPr>
  </w:style>
  <w:style w:type="paragraph" w:styleId="Footer">
    <w:name w:val="footer"/>
    <w:basedOn w:val="Standard-1pt"/>
    <w:link w:val="FooterChar"/>
    <w:uiPriority w:val="99"/>
    <w:qFormat/>
    <w:rsid w:val="0000588F"/>
    <w:pPr>
      <w:tabs>
        <w:tab w:val="clear" w:pos="340"/>
        <w:tab w:val="clear" w:pos="680"/>
      </w:tabs>
      <w:ind w:firstLine="0"/>
      <w:jc w:val="left"/>
    </w:pPr>
  </w:style>
  <w:style w:type="paragraph" w:customStyle="1" w:styleId="Standard-1pt">
    <w:name w:val="Standard-1pt"/>
    <w:basedOn w:val="Normal"/>
    <w:rsid w:val="0000588F"/>
    <w:rPr>
      <w:sz w:val="18"/>
    </w:rPr>
  </w:style>
  <w:style w:type="paragraph" w:styleId="Closing">
    <w:name w:val="Closing"/>
    <w:basedOn w:val="Normal"/>
    <w:rsid w:val="0000588F"/>
    <w:pPr>
      <w:ind w:left="4252"/>
    </w:pPr>
  </w:style>
  <w:style w:type="character" w:styleId="Emphasis">
    <w:name w:val="Emphasis"/>
    <w:basedOn w:val="DefaultParagraphFont"/>
    <w:qFormat/>
    <w:rsid w:val="0000588F"/>
    <w:rPr>
      <w:i/>
      <w:iCs/>
    </w:rPr>
  </w:style>
  <w:style w:type="paragraph" w:styleId="TableofFigures">
    <w:name w:val="table of figures"/>
    <w:basedOn w:val="Normal"/>
    <w:next w:val="Normal"/>
    <w:semiHidden/>
    <w:rsid w:val="0000588F"/>
    <w:pPr>
      <w:tabs>
        <w:tab w:val="clear" w:pos="340"/>
        <w:tab w:val="clear" w:pos="680"/>
      </w:tabs>
    </w:pPr>
  </w:style>
  <w:style w:type="paragraph" w:styleId="Caption">
    <w:name w:val="caption"/>
    <w:basedOn w:val="Normal"/>
    <w:next w:val="Normal"/>
    <w:qFormat/>
    <w:rsid w:val="0000588F"/>
    <w:rPr>
      <w:bCs/>
    </w:rPr>
  </w:style>
  <w:style w:type="paragraph" w:styleId="EndnoteText">
    <w:name w:val="endnote text"/>
    <w:basedOn w:val="Normal"/>
    <w:semiHidden/>
    <w:rsid w:val="0000588F"/>
  </w:style>
  <w:style w:type="character" w:styleId="EndnoteReference">
    <w:name w:val="endnote reference"/>
    <w:basedOn w:val="DefaultParagraphFont"/>
    <w:semiHidden/>
    <w:rsid w:val="0000588F"/>
    <w:rPr>
      <w:vertAlign w:val="superscript"/>
    </w:rPr>
  </w:style>
  <w:style w:type="paragraph" w:styleId="Index1">
    <w:name w:val="index 1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200" w:hanging="200"/>
    </w:pPr>
  </w:style>
  <w:style w:type="paragraph" w:styleId="Header">
    <w:name w:val="header"/>
    <w:basedOn w:val="Standard-1pt"/>
    <w:rsid w:val="0000588F"/>
    <w:pPr>
      <w:tabs>
        <w:tab w:val="clear" w:pos="340"/>
        <w:tab w:val="clear" w:pos="680"/>
        <w:tab w:val="left" w:pos="10036"/>
      </w:tabs>
      <w:ind w:firstLine="0"/>
      <w:jc w:val="left"/>
    </w:pPr>
  </w:style>
  <w:style w:type="paragraph" w:styleId="List">
    <w:name w:val="List"/>
    <w:basedOn w:val="Normal"/>
    <w:rsid w:val="0000588F"/>
    <w:pPr>
      <w:ind w:left="283" w:hanging="283"/>
    </w:pPr>
  </w:style>
  <w:style w:type="paragraph" w:styleId="List2">
    <w:name w:val="List 2"/>
    <w:basedOn w:val="Normal"/>
    <w:rsid w:val="0000588F"/>
    <w:pPr>
      <w:ind w:left="566" w:hanging="283"/>
    </w:pPr>
  </w:style>
  <w:style w:type="paragraph" w:styleId="List3">
    <w:name w:val="List 3"/>
    <w:basedOn w:val="Normal"/>
    <w:rsid w:val="0000588F"/>
    <w:pPr>
      <w:ind w:left="849" w:hanging="283"/>
    </w:pPr>
  </w:style>
  <w:style w:type="paragraph" w:styleId="List4">
    <w:name w:val="List 4"/>
    <w:basedOn w:val="Normal"/>
    <w:rsid w:val="0000588F"/>
    <w:pPr>
      <w:ind w:left="1132" w:hanging="283"/>
    </w:pPr>
  </w:style>
  <w:style w:type="paragraph" w:styleId="List5">
    <w:name w:val="List 5"/>
    <w:basedOn w:val="Normal"/>
    <w:rsid w:val="0000588F"/>
    <w:pPr>
      <w:ind w:left="1415" w:hanging="283"/>
    </w:pPr>
  </w:style>
  <w:style w:type="paragraph" w:styleId="ListContinue">
    <w:name w:val="List Continue"/>
    <w:basedOn w:val="Normal"/>
    <w:rsid w:val="0000588F"/>
    <w:pPr>
      <w:spacing w:after="120"/>
      <w:ind w:left="283"/>
    </w:pPr>
  </w:style>
  <w:style w:type="paragraph" w:styleId="ListContinue2">
    <w:name w:val="List Continue 2"/>
    <w:basedOn w:val="Normal"/>
    <w:rsid w:val="0000588F"/>
    <w:pPr>
      <w:spacing w:after="120"/>
      <w:ind w:left="566"/>
    </w:pPr>
  </w:style>
  <w:style w:type="paragraph" w:styleId="ListContinue3">
    <w:name w:val="List Continue 3"/>
    <w:basedOn w:val="Normal"/>
    <w:rsid w:val="0000588F"/>
    <w:pPr>
      <w:spacing w:after="120"/>
      <w:ind w:left="849"/>
    </w:pPr>
  </w:style>
  <w:style w:type="paragraph" w:styleId="ListContinue4">
    <w:name w:val="List Continue 4"/>
    <w:basedOn w:val="Normal"/>
    <w:rsid w:val="0000588F"/>
    <w:pPr>
      <w:spacing w:after="120"/>
      <w:ind w:left="1132"/>
    </w:pPr>
  </w:style>
  <w:style w:type="paragraph" w:styleId="ListContinue5">
    <w:name w:val="List Continue 5"/>
    <w:basedOn w:val="Normal"/>
    <w:rsid w:val="0000588F"/>
    <w:pPr>
      <w:spacing w:after="120"/>
      <w:ind w:left="1415"/>
    </w:pPr>
  </w:style>
  <w:style w:type="paragraph" w:styleId="ListNumber">
    <w:name w:val="List Number"/>
    <w:basedOn w:val="Normal"/>
    <w:rsid w:val="0000588F"/>
    <w:pPr>
      <w:tabs>
        <w:tab w:val="clear" w:pos="340"/>
        <w:tab w:val="num" w:pos="360"/>
      </w:tabs>
      <w:ind w:left="360" w:hanging="360"/>
    </w:pPr>
  </w:style>
  <w:style w:type="paragraph" w:styleId="ListNumber2">
    <w:name w:val="List Number 2"/>
    <w:basedOn w:val="Normal"/>
    <w:rsid w:val="0000588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0588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0588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0588F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0058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PlainText">
    <w:name w:val="Plain Text"/>
    <w:basedOn w:val="Normal"/>
    <w:rsid w:val="0000588F"/>
    <w:rPr>
      <w:rFonts w:cs="Courier New"/>
    </w:rPr>
  </w:style>
  <w:style w:type="character" w:styleId="PageNumber">
    <w:name w:val="page number"/>
    <w:basedOn w:val="DefaultParagraphFont"/>
    <w:rsid w:val="0000588F"/>
  </w:style>
  <w:style w:type="paragraph" w:styleId="NormalWeb">
    <w:name w:val="Normal (Web)"/>
    <w:basedOn w:val="Normal"/>
    <w:uiPriority w:val="99"/>
    <w:rsid w:val="0000588F"/>
    <w:rPr>
      <w:szCs w:val="24"/>
    </w:rPr>
  </w:style>
  <w:style w:type="paragraph" w:styleId="NormalIndent">
    <w:name w:val="Normal Indent"/>
    <w:basedOn w:val="Normal"/>
    <w:rsid w:val="0000588F"/>
  </w:style>
  <w:style w:type="paragraph" w:styleId="BodyText">
    <w:name w:val="Body Text"/>
    <w:basedOn w:val="Normal"/>
    <w:rsid w:val="0000588F"/>
  </w:style>
  <w:style w:type="paragraph" w:styleId="BodyText2">
    <w:name w:val="Body Text 2"/>
    <w:basedOn w:val="Normal"/>
    <w:rsid w:val="0000588F"/>
  </w:style>
  <w:style w:type="paragraph" w:styleId="BodyText3">
    <w:name w:val="Body Text 3"/>
    <w:basedOn w:val="Normal"/>
    <w:rsid w:val="0000588F"/>
    <w:rPr>
      <w:szCs w:val="16"/>
    </w:rPr>
  </w:style>
  <w:style w:type="paragraph" w:styleId="BodyTextIndent2">
    <w:name w:val="Body Text Indent 2"/>
    <w:basedOn w:val="Normal"/>
    <w:rsid w:val="0000588F"/>
  </w:style>
  <w:style w:type="paragraph" w:styleId="BodyTextIndent3">
    <w:name w:val="Body Text Indent 3"/>
    <w:basedOn w:val="Normal"/>
    <w:rsid w:val="0000588F"/>
    <w:rPr>
      <w:szCs w:val="16"/>
    </w:rPr>
  </w:style>
  <w:style w:type="paragraph" w:styleId="BodyTextFirstIndent">
    <w:name w:val="Body Text First Indent"/>
    <w:basedOn w:val="Normal"/>
    <w:rsid w:val="0000588F"/>
  </w:style>
  <w:style w:type="paragraph" w:styleId="BodyTextIndent">
    <w:name w:val="Body Text Indent"/>
    <w:basedOn w:val="Normal"/>
    <w:rsid w:val="0000588F"/>
  </w:style>
  <w:style w:type="paragraph" w:styleId="BodyTextFirstIndent2">
    <w:name w:val="Body Text First Indent 2"/>
    <w:basedOn w:val="Normal"/>
    <w:rsid w:val="0000588F"/>
  </w:style>
  <w:style w:type="paragraph" w:styleId="Title">
    <w:name w:val="Title"/>
    <w:basedOn w:val="Normal"/>
    <w:qFormat/>
    <w:rsid w:val="0000588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ymbol">
    <w:name w:val="symbol"/>
    <w:basedOn w:val="DefaultParagraphFont"/>
    <w:rsid w:val="0000588F"/>
    <w:rPr>
      <w:rFonts w:ascii="Symbol" w:hAnsi="Symbol"/>
    </w:rPr>
  </w:style>
  <w:style w:type="character" w:customStyle="1" w:styleId="symbolitalic">
    <w:name w:val="symbol_italic"/>
    <w:basedOn w:val="DefaultParagraphFont"/>
    <w:rsid w:val="0000588F"/>
    <w:rPr>
      <w:rFonts w:ascii="Symbol" w:hAnsi="Symbol"/>
      <w:i/>
    </w:rPr>
  </w:style>
  <w:style w:type="paragraph" w:customStyle="1" w:styleId="itemize">
    <w:name w:val="itemize"/>
    <w:basedOn w:val="Normal"/>
    <w:rsid w:val="0000588F"/>
    <w:pPr>
      <w:keepLines/>
      <w:tabs>
        <w:tab w:val="num" w:pos="340"/>
      </w:tabs>
      <w:spacing w:before="120" w:after="120"/>
      <w:ind w:left="340" w:hanging="340"/>
      <w:contextualSpacing/>
    </w:pPr>
    <w:rPr>
      <w:lang w:val="de-DE" w:eastAsia="en-US"/>
    </w:rPr>
  </w:style>
  <w:style w:type="paragraph" w:customStyle="1" w:styleId="enumerate">
    <w:name w:val="enumerate"/>
    <w:basedOn w:val="Normal"/>
    <w:rsid w:val="0000588F"/>
    <w:pPr>
      <w:keepLines/>
      <w:tabs>
        <w:tab w:val="num" w:pos="340"/>
      </w:tabs>
      <w:spacing w:before="120" w:after="120"/>
      <w:ind w:left="340" w:hanging="340"/>
      <w:contextualSpacing/>
    </w:pPr>
  </w:style>
  <w:style w:type="paragraph" w:customStyle="1" w:styleId="StandardAN">
    <w:name w:val="StandardAN"/>
    <w:basedOn w:val="Normal"/>
    <w:rsid w:val="0000588F"/>
    <w:pPr>
      <w:spacing w:after="300"/>
      <w:contextualSpacing/>
    </w:pPr>
    <w:rPr>
      <w:lang w:val="de-DE"/>
    </w:rPr>
  </w:style>
  <w:style w:type="paragraph" w:customStyle="1" w:styleId="StandardAV">
    <w:name w:val="StandardAV"/>
    <w:basedOn w:val="Normal"/>
    <w:rsid w:val="0000588F"/>
    <w:pPr>
      <w:spacing w:before="300"/>
    </w:pPr>
    <w:rPr>
      <w:snapToGrid w:val="0"/>
      <w:lang w:val="de-DE" w:eastAsia="ja-JP"/>
    </w:rPr>
  </w:style>
  <w:style w:type="character" w:customStyle="1" w:styleId="AufzhlungszeichenZchn">
    <w:name w:val="Aufzählungszeichen Zchn"/>
    <w:basedOn w:val="DefaultParagraphFont"/>
    <w:rsid w:val="0000588F"/>
    <w:rPr>
      <w:lang w:val="en-US" w:eastAsia="de-DE" w:bidi="ar-SA"/>
    </w:rPr>
  </w:style>
  <w:style w:type="paragraph" w:customStyle="1" w:styleId="figureOA">
    <w:name w:val="figureOA"/>
    <w:basedOn w:val="figure"/>
    <w:rsid w:val="0000588F"/>
    <w:pPr>
      <w:spacing w:before="0" w:after="0"/>
    </w:pPr>
  </w:style>
  <w:style w:type="paragraph" w:customStyle="1" w:styleId="Default">
    <w:name w:val="Default"/>
    <w:rsid w:val="0000588F"/>
    <w:pPr>
      <w:autoSpaceDE w:val="0"/>
      <w:autoSpaceDN w:val="0"/>
      <w:adjustRightInd w:val="0"/>
    </w:pPr>
    <w:rPr>
      <w:lang w:val="de-DE" w:eastAsia="de-DE"/>
    </w:rPr>
  </w:style>
  <w:style w:type="paragraph" w:customStyle="1" w:styleId="p1a">
    <w:name w:val="p1a"/>
    <w:basedOn w:val="Normal"/>
    <w:next w:val="Default"/>
    <w:rsid w:val="0000588F"/>
    <w:pPr>
      <w:ind w:firstLine="0"/>
    </w:pPr>
    <w:rPr>
      <w:szCs w:val="24"/>
    </w:rPr>
  </w:style>
  <w:style w:type="paragraph" w:customStyle="1" w:styleId="ItemRef">
    <w:name w:val="ItemRef"/>
    <w:basedOn w:val="Normal"/>
    <w:rsid w:val="0000588F"/>
    <w:pPr>
      <w:keepNext/>
      <w:spacing w:before="60"/>
      <w:ind w:left="340" w:firstLine="0"/>
    </w:pPr>
    <w:rPr>
      <w:sz w:val="16"/>
      <w:szCs w:val="16"/>
    </w:rPr>
  </w:style>
  <w:style w:type="character" w:customStyle="1" w:styleId="berschrift1Zchn">
    <w:name w:val="Überschrift 1 Zchn"/>
    <w:basedOn w:val="DefaultParagraphFont"/>
    <w:rsid w:val="0000588F"/>
    <w:rPr>
      <w:rFonts w:cs="Arial"/>
      <w:bCs/>
      <w:caps/>
      <w:kern w:val="32"/>
      <w:sz w:val="16"/>
      <w:szCs w:val="16"/>
      <w:lang w:val="en-US" w:eastAsia="de-DE" w:bidi="ar-SA"/>
    </w:rPr>
  </w:style>
  <w:style w:type="character" w:customStyle="1" w:styleId="berschrift2Zchn">
    <w:name w:val="Überschrift 2 Zchn"/>
    <w:basedOn w:val="berschrift1Zchn"/>
    <w:rsid w:val="0000588F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character" w:customStyle="1" w:styleId="heading2Zchn">
    <w:name w:val="heading2 Zchn"/>
    <w:basedOn w:val="berschrift2Zchn"/>
    <w:rsid w:val="0000588F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character" w:customStyle="1" w:styleId="heading2heading1Zchn">
    <w:name w:val="heading2_heading1 Zchn"/>
    <w:basedOn w:val="heading2Zchn"/>
    <w:rsid w:val="0000588F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paragraph" w:customStyle="1" w:styleId="End">
    <w:name w:val="End"/>
    <w:rsid w:val="0000588F"/>
    <w:pPr>
      <w:spacing w:line="20" w:lineRule="exact"/>
    </w:pPr>
    <w:rPr>
      <w:snapToGrid w:val="0"/>
      <w:sz w:val="2"/>
      <w:szCs w:val="2"/>
    </w:rPr>
  </w:style>
  <w:style w:type="paragraph" w:customStyle="1" w:styleId="ItemRefStart">
    <w:name w:val="ItemRefStart"/>
    <w:basedOn w:val="ItemRef"/>
    <w:rsid w:val="0000588F"/>
    <w:pPr>
      <w:spacing w:before="120"/>
    </w:pPr>
  </w:style>
  <w:style w:type="character" w:customStyle="1" w:styleId="AbsatzNormal">
    <w:name w:val="AbsatzNormal"/>
    <w:basedOn w:val="DefaultParagraphFont"/>
    <w:rsid w:val="0000588F"/>
  </w:style>
  <w:style w:type="paragraph" w:customStyle="1" w:styleId="tablehead">
    <w:name w:val="table_head"/>
    <w:basedOn w:val="tabletext"/>
    <w:rsid w:val="0000588F"/>
    <w:pPr>
      <w:spacing w:before="20" w:after="20"/>
      <w:contextualSpacing/>
      <w:jc w:val="center"/>
    </w:pPr>
  </w:style>
  <w:style w:type="paragraph" w:customStyle="1" w:styleId="runningtitle">
    <w:name w:val="runningtitle"/>
    <w:basedOn w:val="Standard-1pt"/>
    <w:rsid w:val="0000588F"/>
    <w:pPr>
      <w:tabs>
        <w:tab w:val="clear" w:pos="340"/>
        <w:tab w:val="clear" w:pos="680"/>
        <w:tab w:val="right" w:pos="10036"/>
      </w:tabs>
      <w:ind w:firstLine="0"/>
      <w:jc w:val="left"/>
    </w:pPr>
  </w:style>
  <w:style w:type="paragraph" w:customStyle="1" w:styleId="FormatvorlageauthoraddressLinks06cmHngend11cm">
    <w:name w:val="Formatvorlage author_address + Links:  06 cm Hängend:  11 cm"/>
    <w:basedOn w:val="authoraddress"/>
    <w:rsid w:val="0000588F"/>
    <w:rPr>
      <w:rFonts w:eastAsia="Times New Roman"/>
    </w:rPr>
  </w:style>
  <w:style w:type="paragraph" w:customStyle="1" w:styleId="FigureColumnLeftTop">
    <w:name w:val="FigureColumnLeftTop"/>
    <w:basedOn w:val="figure"/>
    <w:rsid w:val="0000588F"/>
    <w:pPr>
      <w:keepNext w:val="0"/>
      <w:framePr w:w="4876" w:vSpace="238" w:wrap="around" w:hAnchor="margin" w:yAlign="top"/>
      <w:spacing w:before="0"/>
    </w:pPr>
  </w:style>
  <w:style w:type="paragraph" w:customStyle="1" w:styleId="FigureColumnLeftBottom">
    <w:name w:val="FigureColumnLeftBottom"/>
    <w:basedOn w:val="FigureColumnLeftTop"/>
    <w:rsid w:val="0000588F"/>
    <w:pPr>
      <w:framePr w:wrap="around" w:yAlign="bottom"/>
      <w:spacing w:before="100" w:after="0"/>
    </w:pPr>
  </w:style>
  <w:style w:type="paragraph" w:customStyle="1" w:styleId="FigureColumnRightTop">
    <w:name w:val="FigureColumnRightTop"/>
    <w:basedOn w:val="FigureColumnLeftTop"/>
    <w:rsid w:val="0000588F"/>
    <w:pPr>
      <w:framePr w:wrap="around" w:xAlign="right"/>
    </w:pPr>
  </w:style>
  <w:style w:type="paragraph" w:customStyle="1" w:styleId="FigureColumnRightBottom">
    <w:name w:val="FigureColumnRightBottom"/>
    <w:basedOn w:val="FigureColumnRightTop"/>
    <w:rsid w:val="0000588F"/>
    <w:pPr>
      <w:framePr w:wrap="around" w:yAlign="bottom"/>
      <w:spacing w:before="100" w:after="0"/>
    </w:pPr>
  </w:style>
  <w:style w:type="paragraph" w:customStyle="1" w:styleId="FigureSideTop">
    <w:name w:val="FigureSideTop"/>
    <w:basedOn w:val="FigureColumnLeftTop"/>
    <w:rsid w:val="0000588F"/>
    <w:pPr>
      <w:framePr w:w="10036" w:wrap="around"/>
    </w:pPr>
  </w:style>
  <w:style w:type="paragraph" w:customStyle="1" w:styleId="FigureSideBottom">
    <w:name w:val="FigureSideBottom"/>
    <w:basedOn w:val="FigureSideTop"/>
    <w:rsid w:val="0000588F"/>
    <w:pPr>
      <w:framePr w:wrap="around" w:yAlign="bottom"/>
      <w:spacing w:before="100" w:after="0"/>
    </w:pPr>
  </w:style>
  <w:style w:type="paragraph" w:customStyle="1" w:styleId="Abbildung">
    <w:name w:val="Abbildung"/>
    <w:basedOn w:val="figure"/>
    <w:next w:val="figlegend"/>
    <w:rsid w:val="0000588F"/>
  </w:style>
  <w:style w:type="paragraph" w:styleId="Index7">
    <w:name w:val="index 7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800" w:hanging="200"/>
    </w:pPr>
  </w:style>
  <w:style w:type="paragraph" w:customStyle="1" w:styleId="StandardZG">
    <w:name w:val="StandardZG"/>
    <w:basedOn w:val="Normal"/>
    <w:rsid w:val="0000588F"/>
    <w:pPr>
      <w:spacing w:line="230" w:lineRule="exact"/>
    </w:pPr>
  </w:style>
  <w:style w:type="paragraph" w:styleId="CommentText">
    <w:name w:val="annotation text"/>
    <w:basedOn w:val="Normal"/>
    <w:semiHidden/>
    <w:rsid w:val="0000588F"/>
  </w:style>
  <w:style w:type="paragraph" w:styleId="CommentSubject">
    <w:name w:val="annotation subject"/>
    <w:basedOn w:val="CommentText"/>
    <w:next w:val="CommentText"/>
    <w:rsid w:val="0000588F"/>
    <w:rPr>
      <w:b/>
      <w:bCs/>
    </w:rPr>
  </w:style>
  <w:style w:type="character" w:styleId="CommentReference">
    <w:name w:val="annotation reference"/>
    <w:basedOn w:val="DefaultParagraphFont"/>
    <w:semiHidden/>
    <w:rsid w:val="0000588F"/>
    <w:rPr>
      <w:sz w:val="16"/>
      <w:szCs w:val="16"/>
    </w:rPr>
  </w:style>
  <w:style w:type="paragraph" w:styleId="MacroText">
    <w:name w:val="macro"/>
    <w:semiHidden/>
    <w:rsid w:val="000058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227"/>
      <w:jc w:val="both"/>
    </w:pPr>
    <w:rPr>
      <w:rFonts w:ascii="Courier New" w:hAnsi="Courier New" w:cs="Courier New"/>
      <w:lang w:eastAsia="de-DE"/>
    </w:rPr>
  </w:style>
  <w:style w:type="paragraph" w:styleId="TableofAuthorities">
    <w:name w:val="table of authorities"/>
    <w:basedOn w:val="Normal"/>
    <w:next w:val="Normal"/>
    <w:semiHidden/>
    <w:rsid w:val="0000588F"/>
    <w:pPr>
      <w:tabs>
        <w:tab w:val="clear" w:pos="340"/>
        <w:tab w:val="clear" w:pos="680"/>
      </w:tabs>
    </w:pPr>
  </w:style>
  <w:style w:type="character" w:customStyle="1" w:styleId="superscript">
    <w:name w:val="superscript"/>
    <w:basedOn w:val="DefaultParagraphFont"/>
    <w:rsid w:val="0000588F"/>
    <w:rPr>
      <w:vertAlign w:val="superscript"/>
    </w:rPr>
  </w:style>
  <w:style w:type="paragraph" w:styleId="BalloonText">
    <w:name w:val="Balloon Text"/>
    <w:basedOn w:val="Normal"/>
    <w:rsid w:val="0000588F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00588F"/>
    <w:pPr>
      <w:tabs>
        <w:tab w:val="clear" w:pos="340"/>
        <w:tab w:val="clear" w:pos="680"/>
      </w:tabs>
    </w:pPr>
  </w:style>
  <w:style w:type="paragraph" w:styleId="TOC2">
    <w:name w:val="toc 2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200"/>
    </w:pPr>
  </w:style>
  <w:style w:type="paragraph" w:styleId="TOC3">
    <w:name w:val="toc 3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400"/>
    </w:pPr>
  </w:style>
  <w:style w:type="paragraph" w:styleId="TOC4">
    <w:name w:val="toc 4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600"/>
    </w:pPr>
  </w:style>
  <w:style w:type="paragraph" w:styleId="TOC5">
    <w:name w:val="toc 5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800"/>
    </w:pPr>
  </w:style>
  <w:style w:type="paragraph" w:styleId="TOC6">
    <w:name w:val="toc 6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000"/>
    </w:pPr>
  </w:style>
  <w:style w:type="paragraph" w:styleId="TOC7">
    <w:name w:val="toc 7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200"/>
    </w:pPr>
  </w:style>
  <w:style w:type="paragraph" w:styleId="TOC8">
    <w:name w:val="toc 8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400"/>
    </w:pPr>
  </w:style>
  <w:style w:type="paragraph" w:styleId="TOC9">
    <w:name w:val="toc 9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600"/>
    </w:pPr>
  </w:style>
  <w:style w:type="character" w:styleId="HTMLAcronym">
    <w:name w:val="HTML Acronym"/>
    <w:basedOn w:val="DefaultParagraphFont"/>
    <w:rsid w:val="0000588F"/>
  </w:style>
  <w:style w:type="paragraph" w:styleId="HTMLPreformatted">
    <w:name w:val="HTML Preformatted"/>
    <w:basedOn w:val="Normal"/>
    <w:rsid w:val="0000588F"/>
    <w:pPr>
      <w:ind w:firstLine="0"/>
    </w:pPr>
    <w:rPr>
      <w:rFonts w:ascii="Courier New" w:hAnsi="Courier New" w:cs="Courier New"/>
    </w:rPr>
  </w:style>
  <w:style w:type="table" w:customStyle="1" w:styleId="Tabellengitternetz">
    <w:name w:val="Tabellengitternetz"/>
    <w:basedOn w:val="TableNormal"/>
    <w:rsid w:val="00CC59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velopeAddress">
    <w:name w:val="envelope address"/>
    <w:basedOn w:val="Normal"/>
    <w:rsid w:val="0000588F"/>
    <w:rPr>
      <w:rFonts w:cs="Arial"/>
      <w:szCs w:val="24"/>
    </w:rPr>
  </w:style>
  <w:style w:type="paragraph" w:styleId="Signature">
    <w:name w:val="Signature"/>
    <w:basedOn w:val="Normal"/>
    <w:rsid w:val="0000588F"/>
  </w:style>
  <w:style w:type="paragraph" w:styleId="Subtitle">
    <w:name w:val="Subtitle"/>
    <w:basedOn w:val="Normal"/>
    <w:qFormat/>
    <w:rsid w:val="0000588F"/>
    <w:rPr>
      <w:rFonts w:cs="Arial"/>
      <w:szCs w:val="24"/>
    </w:rPr>
  </w:style>
  <w:style w:type="character" w:customStyle="1" w:styleId="subscript">
    <w:name w:val="subscript"/>
    <w:basedOn w:val="DefaultParagraphFont"/>
    <w:rsid w:val="0000588F"/>
    <w:rPr>
      <w:vertAlign w:val="subscript"/>
    </w:rPr>
  </w:style>
  <w:style w:type="paragraph" w:customStyle="1" w:styleId="tablelegendInTable">
    <w:name w:val="tablelegendInTable"/>
    <w:basedOn w:val="tablelegend"/>
    <w:rsid w:val="0000588F"/>
    <w:pPr>
      <w:spacing w:before="0"/>
    </w:pPr>
  </w:style>
  <w:style w:type="character" w:customStyle="1" w:styleId="FooterChar">
    <w:name w:val="Footer Char"/>
    <w:link w:val="Footer"/>
    <w:uiPriority w:val="99"/>
    <w:rsid w:val="00AB6A36"/>
    <w:rPr>
      <w:sz w:val="18"/>
      <w:lang w:eastAsia="de-DE"/>
    </w:rPr>
  </w:style>
  <w:style w:type="paragraph" w:styleId="Revision">
    <w:name w:val="Revision"/>
    <w:hidden/>
    <w:uiPriority w:val="99"/>
    <w:semiHidden/>
    <w:rsid w:val="001017CB"/>
    <w:rPr>
      <w:lang w:eastAsia="de-DE"/>
    </w:rPr>
  </w:style>
  <w:style w:type="character" w:styleId="PlaceholderText">
    <w:name w:val="Placeholder Text"/>
    <w:basedOn w:val="DefaultParagraphFont"/>
    <w:uiPriority w:val="99"/>
    <w:semiHidden/>
    <w:rsid w:val="001017CB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61D32"/>
    <w:rPr>
      <w:rFonts w:cs="Arial"/>
      <w:bCs/>
      <w:caps/>
      <w:kern w:val="32"/>
      <w:sz w:val="16"/>
      <w:szCs w:val="16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AD6B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622A"/>
    <w:pPr>
      <w:ind w:left="720"/>
      <w:contextualSpacing/>
    </w:pPr>
  </w:style>
  <w:style w:type="character" w:customStyle="1" w:styleId="highlight">
    <w:name w:val="highlight"/>
    <w:basedOn w:val="DefaultParagraphFont"/>
    <w:rsid w:val="006659BA"/>
  </w:style>
  <w:style w:type="table" w:styleId="TableGrid">
    <w:name w:val="Table Grid"/>
    <w:basedOn w:val="TableNormal"/>
    <w:uiPriority w:val="39"/>
    <w:rsid w:val="00EB55B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96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2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45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886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4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0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1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9214680-23AD-5941-9F39-618222100B53}">
  <we:reference id="f78a3046-9e99-4300-aa2b-5814002b01a2" version="1.55.1.0" store="EXCatalog" storeType="EXCatalog"/>
  <we:alternateReferences>
    <we:reference id="WA104382081" version="1.55.1.0" store="en-CA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5f72c8-8701-4c70-8ee0-f3571ff1cf2a">
      <Terms xmlns="http://schemas.microsoft.com/office/infopath/2007/PartnerControls"/>
    </lcf76f155ced4ddcb4097134ff3c332f>
    <TaxCatchAll xmlns="b6a089a1-3dbf-459d-8e79-780a21b28e20" xsi:nil="true"/>
    <_dlc_DocId xmlns="b6a089a1-3dbf-459d-8e79-780a21b28e20">F2CQKPQ5TST7-680712153-64092</_dlc_DocId>
    <_dlc_DocIdUrl xmlns="b6a089a1-3dbf-459d-8e79-780a21b28e20">
      <Url>https://mycheo.sharepoint.com/sites/SI_CHEO_ClinicalEngineering/_layouts/15/DocIdRedir.aspx?ID=F2CQKPQ5TST7-680712153-64092</Url>
      <Description>F2CQKPQ5TST7-680712153-64092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ACA2F4EAEFF4C80A5AE1DBFE9CCC2" ma:contentTypeVersion="14" ma:contentTypeDescription="Create a new document." ma:contentTypeScope="" ma:versionID="7853cb5d904c859af128adbcfe5bb7ad">
  <xsd:schema xmlns:xsd="http://www.w3.org/2001/XMLSchema" xmlns:xs="http://www.w3.org/2001/XMLSchema" xmlns:p="http://schemas.microsoft.com/office/2006/metadata/properties" xmlns:ns2="b6a089a1-3dbf-459d-8e79-780a21b28e20" xmlns:ns3="3b5f72c8-8701-4c70-8ee0-f3571ff1cf2a" targetNamespace="http://schemas.microsoft.com/office/2006/metadata/properties" ma:root="true" ma:fieldsID="101c5beb70045d6495cfbee3ec776080" ns2:_="" ns3:_="">
    <xsd:import namespace="b6a089a1-3dbf-459d-8e79-780a21b28e20"/>
    <xsd:import namespace="3b5f72c8-8701-4c70-8ee0-f3571ff1cf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089a1-3dbf-459d-8e79-780a21b28e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e08fdb-8aef-4cb6-a0fb-3e771f8934d5}" ma:internalName="TaxCatchAll" ma:showField="CatchAllData" ma:web="b6a089a1-3dbf-459d-8e79-780a21b28e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f72c8-8701-4c70-8ee0-f3571ff1c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fb9944-b075-4f56-b00c-41cffaffd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C22E0433-C382-49C5-8F37-05C142F30B19}">
  <ds:schemaRefs>
    <ds:schemaRef ds:uri="http://schemas.microsoft.com/office/2006/metadata/properties"/>
    <ds:schemaRef ds:uri="http://schemas.microsoft.com/office/infopath/2007/PartnerControls"/>
    <ds:schemaRef ds:uri="3b5f72c8-8701-4c70-8ee0-f3571ff1cf2a"/>
    <ds:schemaRef ds:uri="b6a089a1-3dbf-459d-8e79-780a21b28e20"/>
  </ds:schemaRefs>
</ds:datastoreItem>
</file>

<file path=customXml/itemProps2.xml><?xml version="1.0" encoding="utf-8"?>
<ds:datastoreItem xmlns:ds="http://schemas.openxmlformats.org/officeDocument/2006/customXml" ds:itemID="{CB3C09DC-DED5-42BB-AD16-8826A30431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9C72AC-3E2B-48BB-9D9F-935D31C2E24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EAD3E7B-51FD-4CCD-A5E1-14E6516C1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089a1-3dbf-459d-8e79-780a21b28e20"/>
    <ds:schemaRef ds:uri="3b5f72c8-8701-4c70-8ee0-f3571ff1c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4D3390-1A30-4748-85D7-C91A1A9E4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3097</Words>
  <Characters>17655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Paper Format for the IFMBE Proceedings.doc</vt:lpstr>
      <vt:lpstr>Paper Format for the IFMBE Proceedings.doc</vt:lpstr>
    </vt:vector>
  </TitlesOfParts>
  <Company>Springer-SBM</Company>
  <LinksUpToDate>false</LinksUpToDate>
  <CharactersWithSpaces>20711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Format for the IFMBE Proceedings.doc</dc:title>
  <dc:subject>Adaptation to Word2007</dc:subject>
  <dc:creator>Sarah</dc:creator>
  <dc:description>le-tex publishing services oHG
Thomas Heinrich
Weißenfelser Straße 84
04229 Leipzig
Germany
www.le-tex.de</dc:description>
  <cp:lastModifiedBy>Ibey, Andrew</cp:lastModifiedBy>
  <cp:revision>70</cp:revision>
  <cp:lastPrinted>2023-12-11T04:30:00Z</cp:lastPrinted>
  <dcterms:created xsi:type="dcterms:W3CDTF">2024-01-16T17:31:00Z</dcterms:created>
  <dcterms:modified xsi:type="dcterms:W3CDTF">2024-01-17T02:10:00Z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0x0101004B8ACA2F4EAEFF4C80A5AE1DBFE9CCC2</vt:lpwstr>
  </property>
  <property fmtid="{D5CDD505-2E9C-101B-9397-08002B2CF9AE}" pid="3" name="_dlc_DocIdItemGuid">
    <vt:lpwstr>f562e93c-9f4c-4105-afd1-c09380001b6a</vt:lpwstr>
  </property>
  <property fmtid="{D5CDD505-2E9C-101B-9397-08002B2CF9AE}" pid="4" name="MediaServiceImageTags">
    <vt:lpwstr/>
  </property>
</Properties>
</file>